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F25379" w:rsidTr="00F2537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2537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2537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5379">
                          <w:tc>
                            <w:tcPr>
                              <w:tcW w:w="0" w:type="auto"/>
                              <w:hideMark/>
                            </w:tcPr>
                            <w:p w:rsidR="00F25379" w:rsidRDefault="00F25379">
                              <w:pPr>
                                <w:jc w:val="center"/>
                              </w:pPr>
                              <w:r>
                                <w:rPr>
                                  <w:noProof/>
                                </w:rPr>
                                <w:drawing>
                                  <wp:inline distT="0" distB="0" distL="0" distR="0">
                                    <wp:extent cx="5715000" cy="1783080"/>
                                    <wp:effectExtent l="0" t="0" r="0" b="7620"/>
                                    <wp:docPr id="9" name="Immagine 9" descr="https://gallery.mailchimp.com/1041189d31d4a61eb1a63e3f6/images/e1f6cba6-15f9-4bd8-badb-d00f7771e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041189d31d4a61eb1a63e3f6/images/e1f6cba6-15f9-4bd8-badb-d00f7771e3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83080"/>
                                            </a:xfrm>
                                            <a:prstGeom prst="rect">
                                              <a:avLst/>
                                            </a:prstGeom>
                                            <a:noFill/>
                                            <a:ln>
                                              <a:noFill/>
                                            </a:ln>
                                          </pic:spPr>
                                        </pic:pic>
                                      </a:graphicData>
                                    </a:graphic>
                                  </wp:inline>
                                </w:drawing>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jc w:val="center"/>
              <w:rPr>
                <w:rFonts w:eastAsia="Times New Roman"/>
                <w:sz w:val="20"/>
                <w:szCs w:val="20"/>
              </w:rPr>
            </w:pPr>
          </w:p>
        </w:tc>
      </w:tr>
      <w:tr w:rsidR="00F25379" w:rsidTr="00F2537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51"/>
              <w:gridCol w:w="5949"/>
            </w:tblGrid>
            <w:tr w:rsidR="00F25379">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F25379">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F25379">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51"/>
                              </w:tblGrid>
                              <w:tr w:rsidR="00F2537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3044"/>
                                    </w:tblGrid>
                                    <w:tr w:rsidR="00F25379">
                                      <w:trPr>
                                        <w:jc w:val="center"/>
                                      </w:trPr>
                                      <w:tc>
                                        <w:tcPr>
                                          <w:tcW w:w="0" w:type="auto"/>
                                          <w:hideMark/>
                                        </w:tcPr>
                                        <w:p w:rsidR="00F25379" w:rsidRDefault="00F25379">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44"/>
                                          </w:tblGrid>
                                          <w:tr w:rsidR="00F25379">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2504"/>
                                                </w:tblGrid>
                                                <w:tr w:rsidR="00F25379">
                                                  <w:tc>
                                                    <w:tcPr>
                                                      <w:tcW w:w="0" w:type="auto"/>
                                                      <w:shd w:val="clear" w:color="auto" w:fill="008DD2"/>
                                                      <w:tcMar>
                                                        <w:top w:w="270" w:type="dxa"/>
                                                        <w:left w:w="270" w:type="dxa"/>
                                                        <w:bottom w:w="270" w:type="dxa"/>
                                                        <w:right w:w="270" w:type="dxa"/>
                                                      </w:tcMar>
                                                      <w:hideMark/>
                                                    </w:tcPr>
                                                    <w:p w:rsidR="00F25379" w:rsidRDefault="00F25379">
                                                      <w:pPr>
                                                        <w:pStyle w:val="Titolo2"/>
                                                        <w:spacing w:line="312" w:lineRule="atLeast"/>
                                                        <w:jc w:val="center"/>
                                                        <w:rPr>
                                                          <w:rFonts w:eastAsia="Times New Roman"/>
                                                        </w:rPr>
                                                      </w:pPr>
                                                      <w:r>
                                                        <w:rPr>
                                                          <w:rStyle w:val="Enfasigrassetto"/>
                                                          <w:rFonts w:ascii="Arial" w:eastAsia="Times New Roman" w:hAnsi="Arial" w:cs="Arial"/>
                                                          <w:b/>
                                                          <w:bCs/>
                                                          <w:color w:val="FFFFFF"/>
                                                        </w:rPr>
                                                        <w:t>N. 2</w:t>
                                                      </w:r>
                                                      <w:r>
                                                        <w:rPr>
                                                          <w:rFonts w:ascii="Arial" w:eastAsia="Times New Roman" w:hAnsi="Arial" w:cs="Arial"/>
                                                          <w:color w:val="FFFFFF"/>
                                                        </w:rPr>
                                                        <w:br/>
                                                      </w:r>
                                                      <w:r>
                                                        <w:rPr>
                                                          <w:rFonts w:ascii="Arial" w:eastAsia="Times New Roman" w:hAnsi="Arial" w:cs="Arial"/>
                                                          <w:color w:val="FFFFFF"/>
                                                        </w:rPr>
                                                        <w:br/>
                                                      </w:r>
                                                      <w:proofErr w:type="gramStart"/>
                                                      <w:r>
                                                        <w:rPr>
                                                          <w:rStyle w:val="Enfasigrassetto"/>
                                                          <w:rFonts w:ascii="Arial" w:eastAsia="Times New Roman" w:hAnsi="Arial" w:cs="Arial"/>
                                                          <w:b/>
                                                          <w:bCs/>
                                                          <w:color w:val="FFFFFF"/>
                                                        </w:rPr>
                                                        <w:t>Febbraio</w:t>
                                                      </w:r>
                                                      <w:proofErr w:type="gramEnd"/>
                                                      <w:r>
                                                        <w:rPr>
                                                          <w:rFonts w:ascii="Arial" w:eastAsia="Times New Roman" w:hAnsi="Arial" w:cs="Arial"/>
                                                          <w:color w:val="FFFFFF"/>
                                                        </w:rPr>
                                                        <w:br/>
                                                      </w:r>
                                                      <w:r>
                                                        <w:rPr>
                                                          <w:rFonts w:ascii="Arial" w:eastAsia="Times New Roman" w:hAnsi="Arial" w:cs="Arial"/>
                                                          <w:color w:val="FFFFFF"/>
                                                        </w:rPr>
                                                        <w:br/>
                                                      </w:r>
                                                      <w:r>
                                                        <w:rPr>
                                                          <w:rStyle w:val="Enfasigrassetto"/>
                                                          <w:rFonts w:ascii="Arial" w:eastAsia="Times New Roman" w:hAnsi="Arial" w:cs="Arial"/>
                                                          <w:b/>
                                                          <w:bCs/>
                                                          <w:color w:val="FFFFFF"/>
                                                        </w:rPr>
                                                        <w:t>2020</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jc w:val="center"/>
                                      <w:rPr>
                                        <w:rFonts w:eastAsia="Times New Roman"/>
                                        <w:sz w:val="20"/>
                                        <w:szCs w:val="20"/>
                                      </w:rPr>
                                    </w:pPr>
                                  </w:p>
                                </w:tc>
                              </w:tr>
                            </w:tbl>
                            <w:p w:rsidR="00F25379" w:rsidRDefault="00F25379">
                              <w:pPr>
                                <w:rPr>
                                  <w:rFonts w:eastAsia="Times New Roman"/>
                                  <w:sz w:val="20"/>
                                  <w:szCs w:val="20"/>
                                </w:rPr>
                              </w:pPr>
                            </w:p>
                          </w:tc>
                        </w:tr>
                      </w:tbl>
                      <w:p w:rsidR="00F25379" w:rsidRDefault="00F25379">
                        <w:pPr>
                          <w:jc w:val="right"/>
                          <w:rPr>
                            <w:rFonts w:eastAsia="Times New Roman"/>
                            <w:sz w:val="20"/>
                            <w:szCs w:val="20"/>
                          </w:rPr>
                        </w:pPr>
                      </w:p>
                    </w:tc>
                  </w:tr>
                </w:tbl>
                <w:p w:rsidR="00F25379" w:rsidRDefault="00F25379">
                  <w:pPr>
                    <w:jc w:val="center"/>
                    <w:rPr>
                      <w:rFonts w:eastAsia="Times New Roman"/>
                      <w:sz w:val="20"/>
                      <w:szCs w:val="20"/>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F2537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49"/>
                        </w:tblGrid>
                        <w:tr w:rsidR="00F253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49"/>
                              </w:tblGrid>
                              <w:tr w:rsidR="00F25379">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F25379">
                                      <w:tc>
                                        <w:tcPr>
                                          <w:tcW w:w="0" w:type="auto"/>
                                          <w:tcMar>
                                            <w:top w:w="0" w:type="dxa"/>
                                            <w:left w:w="270" w:type="dxa"/>
                                            <w:bottom w:w="135" w:type="dxa"/>
                                            <w:right w:w="270" w:type="dxa"/>
                                          </w:tcMar>
                                          <w:hideMark/>
                                        </w:tcPr>
                                        <w:p w:rsidR="00F25379" w:rsidRDefault="00F25379">
                                          <w:pPr>
                                            <w:pStyle w:val="Titolo1"/>
                                            <w:rPr>
                                              <w:rFonts w:eastAsia="Times New Roman"/>
                                            </w:rPr>
                                          </w:pPr>
                                          <w:r>
                                            <w:rPr>
                                              <w:rFonts w:eastAsia="Times New Roman"/>
                                            </w:rPr>
                                            <w:t>In questo numero:</w:t>
                                          </w:r>
                                        </w:p>
                                        <w:p w:rsidR="00F25379" w:rsidRDefault="00F25379">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Invio telematico dei dati delle erogazioni liberali</w:t>
                                          </w:r>
                                        </w:p>
                                        <w:p w:rsidR="00F25379" w:rsidRDefault="00F25379">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Esenzione dall’imposta di bollo</w:t>
                                          </w:r>
                                          <w:r>
                                            <w:rPr>
                                              <w:rFonts w:ascii="Helvetica" w:eastAsia="Times New Roman" w:hAnsi="Helvetica" w:cs="Helvetica"/>
                                              <w:b/>
                                              <w:bCs/>
                                              <w:color w:val="606060"/>
                                              <w:sz w:val="23"/>
                                              <w:szCs w:val="23"/>
                                            </w:rPr>
                                            <w:br/>
                                          </w:r>
                                          <w:r>
                                            <w:rPr>
                                              <w:rStyle w:val="Enfasigrassetto"/>
                                              <w:rFonts w:ascii="Helvetica" w:eastAsia="Times New Roman" w:hAnsi="Helvetica" w:cs="Helvetica"/>
                                              <w:color w:val="606060"/>
                                              <w:sz w:val="23"/>
                                              <w:szCs w:val="23"/>
                                            </w:rPr>
                                            <w:t>per ASD e SSD</w:t>
                                          </w:r>
                                        </w:p>
                                        <w:p w:rsidR="00F25379" w:rsidRDefault="00F25379">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L. n. 124/2017 – Obblighi di trasparenza e pubblicità</w:t>
                                          </w:r>
                                        </w:p>
                                        <w:p w:rsidR="00F25379" w:rsidRDefault="00F25379">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 xml:space="preserve">Adempimenti mese di </w:t>
                                          </w:r>
                                          <w:proofErr w:type="gramStart"/>
                                          <w:r>
                                            <w:rPr>
                                              <w:rStyle w:val="Enfasigrassetto"/>
                                              <w:rFonts w:ascii="Helvetica" w:eastAsia="Times New Roman" w:hAnsi="Helvetica" w:cs="Helvetica"/>
                                              <w:color w:val="606060"/>
                                              <w:sz w:val="23"/>
                                              <w:szCs w:val="23"/>
                                            </w:rPr>
                                            <w:t>Febbraio</w:t>
                                          </w:r>
                                          <w:proofErr w:type="gramEnd"/>
                                          <w:r>
                                            <w:rPr>
                                              <w:rStyle w:val="Enfasigrassetto"/>
                                              <w:rFonts w:ascii="Helvetica" w:eastAsia="Times New Roman" w:hAnsi="Helvetica" w:cs="Helvetica"/>
                                              <w:color w:val="606060"/>
                                              <w:sz w:val="23"/>
                                              <w:szCs w:val="23"/>
                                            </w:rPr>
                                            <w:t>.</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jc w:val="center"/>
                    <w:rPr>
                      <w:rFonts w:eastAsia="Times New Roman"/>
                      <w:sz w:val="20"/>
                      <w:szCs w:val="20"/>
                    </w:rPr>
                  </w:pPr>
                </w:p>
              </w:tc>
            </w:tr>
          </w:tbl>
          <w:p w:rsidR="00F25379" w:rsidRDefault="00F25379">
            <w:pPr>
              <w:jc w:val="center"/>
              <w:rPr>
                <w:rFonts w:eastAsia="Times New Roman"/>
                <w:sz w:val="20"/>
                <w:szCs w:val="20"/>
              </w:rPr>
            </w:pPr>
          </w:p>
        </w:tc>
      </w:tr>
      <w:tr w:rsidR="00F25379" w:rsidTr="00F2537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25379" w:rsidTr="00F25379">
              <w:trPr>
                <w:trHeight w:val="68"/>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F25379">
                          <w:trPr>
                            <w:jc w:val="center"/>
                          </w:trPr>
                          <w:tc>
                            <w:tcPr>
                              <w:tcW w:w="0" w:type="auto"/>
                              <w:hideMark/>
                            </w:tcPr>
                            <w:p w:rsidR="00F25379" w:rsidRDefault="00F2537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F25379">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2"/>
                                    </w:tblGrid>
                                    <w:tr w:rsidR="00F25379">
                                      <w:tc>
                                        <w:tcPr>
                                          <w:tcW w:w="0" w:type="auto"/>
                                          <w:shd w:val="clear" w:color="auto" w:fill="008DD2"/>
                                          <w:tcMar>
                                            <w:top w:w="270" w:type="dxa"/>
                                            <w:left w:w="270" w:type="dxa"/>
                                            <w:bottom w:w="270" w:type="dxa"/>
                                            <w:right w:w="270" w:type="dxa"/>
                                          </w:tcMar>
                                          <w:hideMark/>
                                        </w:tcPr>
                                        <w:p w:rsidR="00F25379" w:rsidRDefault="00F25379">
                                          <w:pPr>
                                            <w:pStyle w:val="Titolo2"/>
                                            <w:jc w:val="center"/>
                                            <w:rPr>
                                              <w:rFonts w:eastAsia="Times New Roman"/>
                                            </w:rPr>
                                          </w:pPr>
                                          <w:r>
                                            <w:rPr>
                                              <w:rFonts w:eastAsia="Times New Roman"/>
                                              <w:color w:val="FFFFFF"/>
                                            </w:rPr>
                                            <w:t>1.   Invio telematico dei dati delle</w:t>
                                          </w:r>
                                          <w:r>
                                            <w:rPr>
                                              <w:rFonts w:eastAsia="Times New Roman"/>
                                              <w:color w:val="FFFFFF"/>
                                            </w:rPr>
                                            <w:br/>
                                            <w:t>erogazioni liberali</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jc w:val="cente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537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5379">
                                <w:tc>
                                  <w:tcPr>
                                    <w:tcW w:w="0" w:type="auto"/>
                                    <w:tcMar>
                                      <w:top w:w="0" w:type="dxa"/>
                                      <w:left w:w="270" w:type="dxa"/>
                                      <w:bottom w:w="135" w:type="dxa"/>
                                      <w:right w:w="270" w:type="dxa"/>
                                    </w:tcMar>
                                    <w:hideMark/>
                                  </w:tcPr>
                                  <w:p w:rsidR="00F25379" w:rsidRDefault="00F25379">
                                    <w:pPr>
                                      <w:spacing w:before="240" w:after="240" w:line="300" w:lineRule="auto"/>
                                      <w:jc w:val="both"/>
                                      <w:rPr>
                                        <w:rFonts w:ascii="Helvetica" w:hAnsi="Helvetica" w:cs="Helvetica"/>
                                        <w:color w:val="000000"/>
                                        <w:sz w:val="21"/>
                                        <w:szCs w:val="21"/>
                                      </w:rPr>
                                    </w:pPr>
                                    <w:r>
                                      <w:rPr>
                                        <w:rStyle w:val="Enfasicorsivo"/>
                                        <w:rFonts w:ascii="Helvetica" w:hAnsi="Helvetica" w:cs="Helvetica"/>
                                        <w:b/>
                                        <w:bCs/>
                                        <w:color w:val="000000"/>
                                        <w:sz w:val="21"/>
                                        <w:szCs w:val="21"/>
                                      </w:rPr>
                                      <w:t>Soggetti tenuti alla comunicazione telematica dei dati relativi alle erogazioni liberali</w:t>
                                    </w:r>
                                    <w:r>
                                      <w:rPr>
                                        <w:rFonts w:ascii="Helvetica" w:hAnsi="Helvetica" w:cs="Helvetica"/>
                                        <w:color w:val="000000"/>
                                        <w:sz w:val="21"/>
                                        <w:szCs w:val="21"/>
                                      </w:rPr>
                                      <w:br/>
                                    </w:r>
                                    <w:r>
                                      <w:rPr>
                                        <w:rFonts w:ascii="Helvetica" w:hAnsi="Helvetica" w:cs="Helvetica"/>
                                        <w:color w:val="000000"/>
                                        <w:sz w:val="21"/>
                                        <w:szCs w:val="21"/>
                                      </w:rPr>
                                      <w:br/>
                                      <w:t>La comunicazione telematica dei dati relativi alle erogazioni liberali in denaro deducibili e detraibili eseguite nell’anno precedente dalle persone fisiche è da inviare all’Agenzia delle Entrate entro il prossimo 28 Febbraio.</w:t>
                                    </w:r>
                                    <w:r>
                                      <w:rPr>
                                        <w:rFonts w:ascii="Helvetica" w:hAnsi="Helvetica" w:cs="Helvetica"/>
                                        <w:color w:val="000000"/>
                                        <w:sz w:val="21"/>
                                        <w:szCs w:val="21"/>
                                      </w:rPr>
                                      <w:br/>
                                    </w:r>
                                    <w:r>
                                      <w:rPr>
                                        <w:rFonts w:ascii="Helvetica" w:hAnsi="Helvetica" w:cs="Helvetica"/>
                                        <w:color w:val="000000"/>
                                        <w:sz w:val="21"/>
                                        <w:szCs w:val="21"/>
                                      </w:rPr>
                                      <w:br/>
                                      <w:t>Con riferimento ai dati relativi agli anni d’imposta 2017, 2018 e 2019, in via sperimentale:</w:t>
                                    </w:r>
                                  </w:p>
                                  <w:p w:rsidR="00F25379" w:rsidRDefault="00F25379">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le ONLUS</w:t>
                                    </w:r>
                                  </w:p>
                                  <w:p w:rsidR="00F25379" w:rsidRDefault="00F25379">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le associazioni di promozione sociale</w:t>
                                    </w:r>
                                  </w:p>
                                  <w:p w:rsidR="00F25379" w:rsidRDefault="00F25379">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lastRenderedPageBreak/>
                                      <w:t>le fondazioni e associazioni riconosciute aventi per scopo statutario la tutela, promozione e la valorizzazione dei beni di interesse artistico, storico e paesaggistico</w:t>
                                    </w:r>
                                  </w:p>
                                  <w:p w:rsidR="00F25379" w:rsidRDefault="00F25379">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le fondazioni e associazioni riconosciute aventi per scopo statutario lo svolgimento o la promozione di attività di ricerca scientifica</w:t>
                                    </w:r>
                                  </w:p>
                                  <w:p w:rsidR="00F25379" w:rsidRDefault="00F25379">
                                    <w:pPr>
                                      <w:spacing w:before="240" w:after="240" w:line="300" w:lineRule="auto"/>
                                      <w:jc w:val="both"/>
                                      <w:rPr>
                                        <w:rFonts w:ascii="Helvetica" w:hAnsi="Helvetica" w:cs="Helvetica"/>
                                        <w:color w:val="000000"/>
                                        <w:sz w:val="21"/>
                                        <w:szCs w:val="21"/>
                                      </w:rPr>
                                    </w:pPr>
                                    <w:r>
                                      <w:rPr>
                                        <w:rFonts w:ascii="Helvetica" w:hAnsi="Helvetica" w:cs="Helvetica"/>
                                        <w:color w:val="000000"/>
                                        <w:sz w:val="21"/>
                                        <w:szCs w:val="21"/>
                                      </w:rPr>
                                      <w:t>Trasmettono telematicamente all’Agenzia delle entrate, in via facoltativa, una comunicazione contenente i dati relativi alle erogazioni liberali in denaro deducibili e detraibili, eseguite nell’anno precedente da persone fisiche.</w:t>
                                    </w:r>
                                    <w:r>
                                      <w:rPr>
                                        <w:rFonts w:ascii="Helvetica" w:hAnsi="Helvetica" w:cs="Helvetica"/>
                                        <w:color w:val="000000"/>
                                        <w:sz w:val="21"/>
                                        <w:szCs w:val="21"/>
                                      </w:rPr>
                                      <w:br/>
                                    </w:r>
                                    <w:r>
                                      <w:rPr>
                                        <w:rFonts w:ascii="Helvetica" w:hAnsi="Helvetica" w:cs="Helvetica"/>
                                        <w:color w:val="000000"/>
                                        <w:sz w:val="21"/>
                                        <w:szCs w:val="21"/>
                                      </w:rPr>
                                      <w:br/>
                                      <w:t>Con la medesima comunicazione e con riferimento allo stesso periodo di sperimentazione, i citati enti trasmettano in via telematica all’Agenzia delle entrate i dati relativi alle erogazioni liberali restituite ai soggetti persone fisiche eroganti, con l’indicazione dell’anno nel quale è stato versato il contributo rimborsato.</w:t>
                                    </w:r>
                                    <w:r>
                                      <w:rPr>
                                        <w:rFonts w:ascii="Helvetica" w:hAnsi="Helvetica" w:cs="Helvetica"/>
                                        <w:color w:val="000000"/>
                                        <w:sz w:val="21"/>
                                        <w:szCs w:val="21"/>
                                      </w:rPr>
                                      <w:br/>
                                    </w:r>
                                    <w:r>
                                      <w:rPr>
                                        <w:rFonts w:ascii="Helvetica" w:hAnsi="Helvetica" w:cs="Helvetica"/>
                                        <w:color w:val="000000"/>
                                        <w:sz w:val="21"/>
                                        <w:szCs w:val="21"/>
                                      </w:rPr>
                                      <w:br/>
                                      <w:t>Le comunicazioni sono effettuate, in via telematica, entro il 28 febbraio con riferimento ai dati dell’anno precedente.</w:t>
                                    </w:r>
                                    <w:r>
                                      <w:rPr>
                                        <w:rFonts w:ascii="Helvetica" w:hAnsi="Helvetica" w:cs="Helvetica"/>
                                        <w:color w:val="000000"/>
                                        <w:sz w:val="21"/>
                                        <w:szCs w:val="21"/>
                                      </w:rPr>
                                      <w:br/>
                                    </w:r>
                                    <w:r>
                                      <w:rPr>
                                        <w:rFonts w:ascii="Helvetica" w:hAnsi="Helvetica" w:cs="Helvetica"/>
                                        <w:color w:val="000000"/>
                                        <w:sz w:val="21"/>
                                        <w:szCs w:val="21"/>
                                      </w:rPr>
                                      <w:br/>
                                      <w:t xml:space="preserve">La comunicazione va effettuata utilizzando il servizio telematico Entratel o </w:t>
                                    </w:r>
                                    <w:proofErr w:type="spellStart"/>
                                    <w:r>
                                      <w:rPr>
                                        <w:rFonts w:ascii="Helvetica" w:hAnsi="Helvetica" w:cs="Helvetica"/>
                                        <w:color w:val="000000"/>
                                        <w:sz w:val="21"/>
                                        <w:szCs w:val="21"/>
                                      </w:rPr>
                                      <w:t>Fisconline</w:t>
                                    </w:r>
                                    <w:proofErr w:type="spellEnd"/>
                                    <w:r>
                                      <w:rPr>
                                        <w:rFonts w:ascii="Helvetica" w:hAnsi="Helvetica" w:cs="Helvetica"/>
                                        <w:color w:val="000000"/>
                                        <w:sz w:val="21"/>
                                        <w:szCs w:val="21"/>
                                      </w:rPr>
                                      <w:t>, in relazione ai requisiti da essi posseduti per la trasmissione telematica delle dichiarazioni, utilizzando i software di controllo e di predisposizione dei file messi a disposizione gratuitamente dall’Agenzia delle Entrate. Gli enti possono avvalersi anche degli intermediari abilitati (D.P.R. n. 322/1998, articolo 3, commi 2-bis e 3).</w:t>
                                    </w:r>
                                    <w:r>
                                      <w:rPr>
                                        <w:rFonts w:ascii="Helvetica" w:hAnsi="Helvetica" w:cs="Helvetica"/>
                                        <w:color w:val="000000"/>
                                        <w:sz w:val="21"/>
                                        <w:szCs w:val="21"/>
                                      </w:rPr>
                                      <w:br/>
                                    </w:r>
                                    <w:r>
                                      <w:rPr>
                                        <w:rFonts w:ascii="Helvetica" w:hAnsi="Helvetica" w:cs="Helvetica"/>
                                        <w:color w:val="000000"/>
                                        <w:sz w:val="21"/>
                                        <w:szCs w:val="21"/>
                                      </w:rPr>
                                      <w:br/>
                                      <w:t>I dati da comunicare sono relativi alle erogazioni liberali effettuate tramite banca o ufficio postale o con altri sistemi di pagamento certificati e tracciabili, con l’indicazione dei dati identificativi dei soggetti eroganti.</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25379">
                          <w:tc>
                            <w:tcPr>
                              <w:tcW w:w="0" w:type="auto"/>
                              <w:tcMar>
                                <w:top w:w="0" w:type="dxa"/>
                                <w:left w:w="135" w:type="dxa"/>
                                <w:bottom w:w="0" w:type="dxa"/>
                                <w:right w:w="135" w:type="dxa"/>
                              </w:tcMar>
                              <w:hideMark/>
                            </w:tcPr>
                            <w:p w:rsidR="00F25379" w:rsidRDefault="00F25379">
                              <w:pPr>
                                <w:jc w:val="center"/>
                              </w:pPr>
                              <w:r>
                                <w:rPr>
                                  <w:noProof/>
                                  <w:color w:val="0000FF"/>
                                </w:rPr>
                                <w:drawing>
                                  <wp:inline distT="0" distB="0" distL="0" distR="0">
                                    <wp:extent cx="5372100" cy="2125980"/>
                                    <wp:effectExtent l="0" t="0" r="0" b="7620"/>
                                    <wp:docPr id="8" name="Immagine 8" descr="https://gallery.mailchimp.com/1041189d31d4a61eb1a63e3f6/images/672ffde4-546b-4ac6-add7-04ad86f1b7a2.jpg">
                                      <a:hlinkClick xmlns:a="http://schemas.openxmlformats.org/drawingml/2006/main" r:id="rId6"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041189d31d4a61eb1a63e3f6/images/672ffde4-546b-4ac6-add7-04ad86f1b7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125980"/>
                                            </a:xfrm>
                                            <a:prstGeom prst="rect">
                                              <a:avLst/>
                                            </a:prstGeom>
                                            <a:noFill/>
                                            <a:ln>
                                              <a:noFill/>
                                            </a:ln>
                                          </pic:spPr>
                                        </pic:pic>
                                      </a:graphicData>
                                    </a:graphic>
                                  </wp:inline>
                                </w:drawing>
                              </w:r>
                            </w:p>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F25379">
                          <w:trPr>
                            <w:jc w:val="center"/>
                          </w:trPr>
                          <w:tc>
                            <w:tcPr>
                              <w:tcW w:w="0" w:type="auto"/>
                              <w:hideMark/>
                            </w:tcPr>
                            <w:p w:rsidR="00F25379" w:rsidRDefault="00F2537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F25379">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3"/>
                                    </w:tblGrid>
                                    <w:tr w:rsidR="00F25379">
                                      <w:tc>
                                        <w:tcPr>
                                          <w:tcW w:w="0" w:type="auto"/>
                                          <w:shd w:val="clear" w:color="auto" w:fill="008DD2"/>
                                          <w:tcMar>
                                            <w:top w:w="270" w:type="dxa"/>
                                            <w:left w:w="270" w:type="dxa"/>
                                            <w:bottom w:w="270" w:type="dxa"/>
                                            <w:right w:w="270" w:type="dxa"/>
                                          </w:tcMar>
                                          <w:hideMark/>
                                        </w:tcPr>
                                        <w:p w:rsidR="00F25379" w:rsidRDefault="00F25379">
                                          <w:pPr>
                                            <w:pStyle w:val="Titolo2"/>
                                            <w:jc w:val="center"/>
                                            <w:rPr>
                                              <w:rFonts w:eastAsia="Times New Roman"/>
                                            </w:rPr>
                                          </w:pPr>
                                          <w:r>
                                            <w:rPr>
                                              <w:rFonts w:eastAsia="Times New Roman"/>
                                              <w:color w:val="FFFFFF"/>
                                            </w:rPr>
                                            <w:t>  2.    Esenzione dall’imposta di bollo</w:t>
                                          </w:r>
                                          <w:r>
                                            <w:rPr>
                                              <w:rFonts w:eastAsia="Times New Roman"/>
                                              <w:color w:val="FFFFFF"/>
                                            </w:rPr>
                                            <w:br/>
                                            <w:t>per ASD e SSD</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jc w:val="cente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537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5379">
                                <w:tc>
                                  <w:tcPr>
                                    <w:tcW w:w="0" w:type="auto"/>
                                    <w:tcMar>
                                      <w:top w:w="0" w:type="dxa"/>
                                      <w:left w:w="270" w:type="dxa"/>
                                      <w:bottom w:w="135" w:type="dxa"/>
                                      <w:right w:w="270" w:type="dxa"/>
                                    </w:tcMar>
                                    <w:hideMark/>
                                  </w:tcPr>
                                  <w:p w:rsidR="00F25379" w:rsidRDefault="00F25379">
                                    <w:pPr>
                                      <w:spacing w:line="300" w:lineRule="auto"/>
                                      <w:jc w:val="both"/>
                                      <w:rPr>
                                        <w:rFonts w:ascii="Helvetica" w:hAnsi="Helvetica" w:cs="Helvetica"/>
                                        <w:color w:val="000000"/>
                                        <w:sz w:val="21"/>
                                        <w:szCs w:val="21"/>
                                      </w:rPr>
                                    </w:pPr>
                                    <w:r>
                                      <w:rPr>
                                        <w:rStyle w:val="Enfasicorsivo"/>
                                        <w:rFonts w:ascii="Helvetica" w:hAnsi="Helvetica" w:cs="Helvetica"/>
                                        <w:b/>
                                        <w:bCs/>
                                        <w:color w:val="000000"/>
                                        <w:sz w:val="21"/>
                                        <w:szCs w:val="21"/>
                                      </w:rPr>
                                      <w:t>Soggetti esentati dall’applicazione dell’imposta di bollo</w:t>
                                    </w:r>
                                    <w:r>
                                      <w:rPr>
                                        <w:rFonts w:ascii="Helvetica" w:hAnsi="Helvetica" w:cs="Helvetica"/>
                                        <w:color w:val="000000"/>
                                        <w:sz w:val="21"/>
                                        <w:szCs w:val="21"/>
                                      </w:rPr>
                                      <w:br/>
                                      <w:t> </w:t>
                                    </w:r>
                                    <w:r>
                                      <w:rPr>
                                        <w:rFonts w:ascii="Helvetica" w:hAnsi="Helvetica" w:cs="Helvetica"/>
                                        <w:color w:val="000000"/>
                                        <w:sz w:val="21"/>
                                        <w:szCs w:val="21"/>
                                      </w:rPr>
                                      <w:br/>
                                      <w:t>La vecchia legge di bilancio del 2019 (L.30/12/2018 n.145) ha modificato l’art. 27 bis della tabella di cui all’allegato B annesso al decreto del presidente della repubblica 26/10/1972 n. 642.</w:t>
                                    </w:r>
                                    <w:r>
                                      <w:rPr>
                                        <w:rFonts w:ascii="Helvetica" w:hAnsi="Helvetica" w:cs="Helvetica"/>
                                        <w:color w:val="000000"/>
                                        <w:sz w:val="21"/>
                                        <w:szCs w:val="21"/>
                                      </w:rPr>
                                      <w:br/>
                                    </w:r>
                                    <w:r>
                                      <w:rPr>
                                        <w:rFonts w:ascii="Helvetica" w:hAnsi="Helvetica" w:cs="Helvetica"/>
                                        <w:color w:val="000000"/>
                                        <w:sz w:val="21"/>
                                        <w:szCs w:val="21"/>
                                      </w:rPr>
                                      <w:br/>
                                      <w:t>La legge n. 145 del 30/12/2018, ha esteso anche alle associazioni e società sportive dilettantistiche riconosciute dal CONI, l’esenzione dall’imposta di bollo.</w:t>
                                    </w:r>
                                    <w:r>
                                      <w:rPr>
                                        <w:rFonts w:ascii="Helvetica" w:hAnsi="Helvetica" w:cs="Helvetica"/>
                                        <w:color w:val="000000"/>
                                        <w:sz w:val="21"/>
                                        <w:szCs w:val="21"/>
                                      </w:rPr>
                                      <w:br/>
                                    </w:r>
                                    <w:r>
                                      <w:rPr>
                                        <w:rFonts w:ascii="Helvetica" w:hAnsi="Helvetica" w:cs="Helvetica"/>
                                        <w:color w:val="000000"/>
                                        <w:sz w:val="21"/>
                                        <w:szCs w:val="21"/>
                                      </w:rPr>
                                      <w:br/>
                                      <w:t>A partire dallo scorso 01 Gennaio 2019 gli atti, i documenti, le istanze, i contratti nonché le copie, anche conformi, gli estratti, le certificazioni, le dichiarazioni e le attestazioni poste in essere o richiesti dagli enti sportivi dilettantistici (ASD e SSD) riconosciuti dal CONI, non saranno soggetti all’imposta di bollo.</w:t>
                                    </w:r>
                                    <w:r>
                                      <w:rPr>
                                        <w:rFonts w:ascii="Helvetica" w:hAnsi="Helvetica" w:cs="Helvetica"/>
                                        <w:color w:val="000000"/>
                                        <w:sz w:val="21"/>
                                        <w:szCs w:val="21"/>
                                      </w:rPr>
                                      <w:br/>
                                      <w:t> </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25379">
                          <w:tc>
                            <w:tcPr>
                              <w:tcW w:w="0" w:type="auto"/>
                              <w:tcMar>
                                <w:top w:w="0" w:type="dxa"/>
                                <w:left w:w="135" w:type="dxa"/>
                                <w:bottom w:w="0" w:type="dxa"/>
                                <w:right w:w="135" w:type="dxa"/>
                              </w:tcMar>
                              <w:hideMark/>
                            </w:tcPr>
                            <w:p w:rsidR="00F25379" w:rsidRDefault="00F25379">
                              <w:pPr>
                                <w:jc w:val="center"/>
                              </w:pPr>
                              <w:r>
                                <w:rPr>
                                  <w:noProof/>
                                </w:rPr>
                                <w:drawing>
                                  <wp:inline distT="0" distB="0" distL="0" distR="0">
                                    <wp:extent cx="5372100" cy="2125980"/>
                                    <wp:effectExtent l="0" t="0" r="0" b="7620"/>
                                    <wp:docPr id="7" name="Immagine 7" descr="https://gallery.mailchimp.com/1041189d31d4a61eb1a63e3f6/images/599da028-4efc-4296-b1e3-273d2225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041189d31d4a61eb1a63e3f6/images/599da028-4efc-4296-b1e3-273d222561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125980"/>
                                            </a:xfrm>
                                            <a:prstGeom prst="rect">
                                              <a:avLst/>
                                            </a:prstGeom>
                                            <a:noFill/>
                                            <a:ln>
                                              <a:noFill/>
                                            </a:ln>
                                          </pic:spPr>
                                        </pic:pic>
                                      </a:graphicData>
                                    </a:graphic>
                                  </wp:inline>
                                </w:drawing>
                              </w:r>
                            </w:p>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F25379">
                          <w:trPr>
                            <w:jc w:val="center"/>
                          </w:trPr>
                          <w:tc>
                            <w:tcPr>
                              <w:tcW w:w="0" w:type="auto"/>
                              <w:hideMark/>
                            </w:tcPr>
                            <w:p w:rsidR="00F25379" w:rsidRDefault="00F2537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F25379">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3"/>
                                    </w:tblGrid>
                                    <w:tr w:rsidR="00F25379">
                                      <w:tc>
                                        <w:tcPr>
                                          <w:tcW w:w="0" w:type="auto"/>
                                          <w:shd w:val="clear" w:color="auto" w:fill="008DD2"/>
                                          <w:tcMar>
                                            <w:top w:w="270" w:type="dxa"/>
                                            <w:left w:w="270" w:type="dxa"/>
                                            <w:bottom w:w="270" w:type="dxa"/>
                                            <w:right w:w="270" w:type="dxa"/>
                                          </w:tcMar>
                                          <w:hideMark/>
                                        </w:tcPr>
                                        <w:p w:rsidR="00F25379" w:rsidRDefault="00F25379">
                                          <w:pPr>
                                            <w:pStyle w:val="Titolo2"/>
                                            <w:jc w:val="center"/>
                                            <w:rPr>
                                              <w:rFonts w:eastAsia="Times New Roman"/>
                                            </w:rPr>
                                          </w:pPr>
                                          <w:r>
                                            <w:rPr>
                                              <w:rStyle w:val="Enfasigrassetto"/>
                                              <w:rFonts w:eastAsia="Times New Roman"/>
                                              <w:b/>
                                              <w:bCs/>
                                              <w:color w:val="FFFFFF"/>
                                            </w:rPr>
                                            <w:t>3.  L. n. 124/2017</w:t>
                                          </w:r>
                                          <w:r>
                                            <w:rPr>
                                              <w:rFonts w:eastAsia="Times New Roman"/>
                                              <w:color w:val="FFFFFF"/>
                                            </w:rPr>
                                            <w:br/>
                                          </w:r>
                                          <w:r>
                                            <w:rPr>
                                              <w:rStyle w:val="Enfasigrassetto"/>
                                              <w:rFonts w:eastAsia="Times New Roman"/>
                                              <w:b/>
                                              <w:bCs/>
                                              <w:color w:val="FFFFFF"/>
                                            </w:rPr>
                                            <w:t> Obblighi di trasparenza e pubblicità</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jc w:val="cente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537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5379">
                                <w:tc>
                                  <w:tcPr>
                                    <w:tcW w:w="0" w:type="auto"/>
                                    <w:tcMar>
                                      <w:top w:w="0" w:type="dxa"/>
                                      <w:left w:w="270" w:type="dxa"/>
                                      <w:bottom w:w="135" w:type="dxa"/>
                                      <w:right w:w="270" w:type="dxa"/>
                                    </w:tcMar>
                                    <w:hideMark/>
                                  </w:tcPr>
                                  <w:p w:rsidR="00F25379" w:rsidRDefault="00F25379">
                                    <w:pPr>
                                      <w:spacing w:before="240" w:after="240" w:line="300" w:lineRule="auto"/>
                                      <w:jc w:val="both"/>
                                      <w:rPr>
                                        <w:rFonts w:ascii="Helvetica" w:hAnsi="Helvetica" w:cs="Helvetica"/>
                                        <w:color w:val="000000"/>
                                        <w:sz w:val="21"/>
                                        <w:szCs w:val="21"/>
                                      </w:rPr>
                                    </w:pPr>
                                    <w:r>
                                      <w:rPr>
                                        <w:rStyle w:val="Enfasicorsivo"/>
                                        <w:rFonts w:ascii="Helvetica" w:hAnsi="Helvetica" w:cs="Helvetica"/>
                                        <w:b/>
                                        <w:bCs/>
                                        <w:color w:val="000000"/>
                                        <w:sz w:val="21"/>
                                        <w:szCs w:val="21"/>
                                      </w:rPr>
                                      <w:t>Modalità di comunicazione e nuova scadenza per l’assolvimento degli obblighi di trasparenza e pubblicità relativamente agli introiti ricevuti dalle PA</w:t>
                                    </w:r>
                                    <w:r>
                                      <w:rPr>
                                        <w:rFonts w:ascii="Helvetica" w:hAnsi="Helvetica" w:cs="Helvetica"/>
                                        <w:color w:val="000000"/>
                                        <w:sz w:val="21"/>
                                        <w:szCs w:val="21"/>
                                      </w:rPr>
                                      <w:br/>
                                      <w:t> </w:t>
                                    </w:r>
                                    <w:r>
                                      <w:rPr>
                                        <w:rFonts w:ascii="Helvetica" w:hAnsi="Helvetica" w:cs="Helvetica"/>
                                        <w:color w:val="000000"/>
                                        <w:sz w:val="21"/>
                                        <w:szCs w:val="21"/>
                                      </w:rPr>
                                      <w:br/>
                                      <w:t>Con la Circolare n. 2 dell’11 gennaio 2019 il Ministero del Lavoro e delle Politiche Sociali è intervenuto per chiarire come adempiere correttamente agli obblighi di trasparenza e pubblicità, posti a carico di associazioni, fondazioni, Onlus, ETS (segnatamente ODV, APS e Onlus), associazioni ambientali a carattere nazionale, associazioni dei consumatori e degli utenti a carattere nazionale, cooperative sociali che svolgono attività a favore degli stranieri e imprese.</w:t>
                                    </w:r>
                                    <w:r>
                                      <w:rPr>
                                        <w:rFonts w:ascii="Helvetica" w:hAnsi="Helvetica" w:cs="Helvetica"/>
                                        <w:color w:val="000000"/>
                                        <w:sz w:val="21"/>
                                        <w:szCs w:val="21"/>
                                      </w:rPr>
                                      <w:br/>
                                    </w:r>
                                    <w:r>
                                      <w:rPr>
                                        <w:rFonts w:ascii="Helvetica" w:hAnsi="Helvetica" w:cs="Helvetica"/>
                                        <w:color w:val="000000"/>
                                        <w:sz w:val="21"/>
                                        <w:szCs w:val="21"/>
                                      </w:rPr>
                                      <w:br/>
                                      <w:t>Il Decreto Crescita (in GU n.151 del 29-6-2019 - Suppl. Ordinario n. 26) ha modificato la legge n. 124/2017, posticipando l’obbligo di assolvere tale adempimento non più entro il 28 febbraio, ma entro il 30 giugno di ogni anno successivo all’erogazione effettuata nell’esercizio finanziario precedente.</w:t>
                                    </w:r>
                                    <w:r>
                                      <w:rPr>
                                        <w:rFonts w:ascii="Helvetica" w:hAnsi="Helvetica" w:cs="Helvetica"/>
                                        <w:color w:val="000000"/>
                                        <w:sz w:val="21"/>
                                        <w:szCs w:val="21"/>
                                      </w:rPr>
                                      <w:br/>
                                    </w:r>
                                    <w:r>
                                      <w:rPr>
                                        <w:rFonts w:ascii="Helvetica" w:hAnsi="Helvetica" w:cs="Helvetica"/>
                                        <w:color w:val="000000"/>
                                        <w:sz w:val="21"/>
                                        <w:szCs w:val="21"/>
                                      </w:rPr>
                                      <w:br/>
                                      <w:t xml:space="preserve">Pertanto dovranno essere comunicati attraverso il sito internet dell’ente, sulla pagina </w:t>
                                    </w:r>
                                    <w:proofErr w:type="spellStart"/>
                                    <w:r>
                                      <w:rPr>
                                        <w:rFonts w:ascii="Helvetica" w:hAnsi="Helvetica" w:cs="Helvetica"/>
                                        <w:color w:val="000000"/>
                                        <w:sz w:val="21"/>
                                        <w:szCs w:val="21"/>
                                      </w:rPr>
                                      <w:t>facebook</w:t>
                                    </w:r>
                                    <w:proofErr w:type="spellEnd"/>
                                    <w:r>
                                      <w:rPr>
                                        <w:rFonts w:ascii="Helvetica" w:hAnsi="Helvetica" w:cs="Helvetica"/>
                                        <w:color w:val="000000"/>
                                        <w:sz w:val="21"/>
                                        <w:szCs w:val="21"/>
                                      </w:rPr>
                                      <w:t xml:space="preserve"> dell’ente o di analoghi portali digitali, le sovvenzioni, i sussidi, i vantaggi, i contributi o aiuti, in denaro e in natura, non aventi carattere generale e privi di natura corrispettiva, retributiva o risarcitoria, nella nuova formulazione recata dal Decreto Crescita, erogati da pubbliche amministrazioni di cui all’art. 1, c. 2, del D. Lgs. 30 marzo 2001, n. 165 e dai soggetti di cui all’articolo 2-bis del Decreto Legislativo 14 marzo 2013, n. 33.</w:t>
                                    </w:r>
                                    <w:r>
                                      <w:rPr>
                                        <w:rFonts w:ascii="Helvetica" w:hAnsi="Helvetica" w:cs="Helvetica"/>
                                        <w:color w:val="000000"/>
                                        <w:sz w:val="21"/>
                                        <w:szCs w:val="21"/>
                                      </w:rPr>
                                      <w:br/>
                                    </w:r>
                                    <w:r>
                                      <w:rPr>
                                        <w:rFonts w:ascii="Helvetica" w:hAnsi="Helvetica" w:cs="Helvetica"/>
                                        <w:color w:val="000000"/>
                                        <w:sz w:val="21"/>
                                        <w:szCs w:val="21"/>
                                      </w:rPr>
                                      <w:br/>
                                      <w:t>L’obbligo di trasparenza e di comunicazione da parte degli enti sopra citati scatta per gli importi, cumulativamente intesi in capo al soggetto percipiente e non con riferimento alla singola erogazione, pari o superiori a 10.000 € incassati nell’anno precedente, dal 1° gennaio sino al 31 dicembre di ciascun anno (criterio di cassa).</w:t>
                                    </w:r>
                                    <w:r>
                                      <w:rPr>
                                        <w:rFonts w:ascii="Helvetica" w:hAnsi="Helvetica" w:cs="Helvetica"/>
                                        <w:color w:val="000000"/>
                                        <w:sz w:val="21"/>
                                        <w:szCs w:val="21"/>
                                      </w:rPr>
                                      <w:br/>
                                    </w:r>
                                    <w:r>
                                      <w:rPr>
                                        <w:rFonts w:ascii="Helvetica" w:hAnsi="Helvetica" w:cs="Helvetica"/>
                                        <w:color w:val="000000"/>
                                        <w:sz w:val="21"/>
                                        <w:szCs w:val="21"/>
                                      </w:rPr>
                                      <w:br/>
                                      <w:t>Le informazioni da pubblicare devono contenere i seguenti elementi:</w:t>
                                    </w:r>
                                  </w:p>
                                  <w:p w:rsidR="00F25379" w:rsidRDefault="00F25379">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denominazione e codice fiscale del soggetto ricevente;</w:t>
                                    </w:r>
                                  </w:p>
                                  <w:p w:rsidR="00F25379" w:rsidRDefault="00F25379">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denominazione del soggetto erogatore;</w:t>
                                    </w:r>
                                  </w:p>
                                  <w:p w:rsidR="00F25379" w:rsidRDefault="00F25379">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somma incassata per ogni singolo rapporto giuridico sottostante;</w:t>
                                    </w:r>
                                  </w:p>
                                  <w:p w:rsidR="00F25379" w:rsidRDefault="00F25379">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data dell’incasso;</w:t>
                                    </w:r>
                                  </w:p>
                                  <w:p w:rsidR="00F25379" w:rsidRDefault="00F25379">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causale.</w:t>
                                    </w:r>
                                  </w:p>
                                  <w:p w:rsidR="00F25379" w:rsidRDefault="00F25379">
                                    <w:pPr>
                                      <w:spacing w:before="240" w:after="240" w:line="300" w:lineRule="auto"/>
                                      <w:jc w:val="both"/>
                                      <w:rPr>
                                        <w:rFonts w:ascii="Helvetica" w:hAnsi="Helvetica" w:cs="Helvetica"/>
                                        <w:color w:val="000000"/>
                                        <w:sz w:val="21"/>
                                        <w:szCs w:val="21"/>
                                      </w:rPr>
                                    </w:pPr>
                                    <w:r>
                                      <w:rPr>
                                        <w:rFonts w:ascii="Helvetica" w:hAnsi="Helvetica" w:cs="Helvetica"/>
                                        <w:color w:val="000000"/>
                                        <w:sz w:val="21"/>
                                        <w:szCs w:val="21"/>
                                      </w:rPr>
                                      <w:br/>
                                      <w:t xml:space="preserve">Inoltre, per i soggetti che redigono il bilancio corredato da Nota integrativa, dovrà essere </w:t>
                                    </w:r>
                                    <w:r>
                                      <w:rPr>
                                        <w:rFonts w:ascii="Helvetica" w:hAnsi="Helvetica" w:cs="Helvetica"/>
                                        <w:color w:val="000000"/>
                                        <w:sz w:val="21"/>
                                        <w:szCs w:val="21"/>
                                      </w:rPr>
                                      <w:lastRenderedPageBreak/>
                                      <w:t>data evidenza ai contributi pubblici ricevuti, in tale documento.</w:t>
                                    </w:r>
                                    <w:r>
                                      <w:rPr>
                                        <w:rFonts w:ascii="Helvetica" w:hAnsi="Helvetica" w:cs="Helvetica"/>
                                        <w:color w:val="000000"/>
                                        <w:sz w:val="21"/>
                                        <w:szCs w:val="21"/>
                                      </w:rPr>
                                      <w:br/>
                                    </w:r>
                                    <w:r>
                                      <w:rPr>
                                        <w:rFonts w:ascii="Helvetica" w:hAnsi="Helvetica" w:cs="Helvetica"/>
                                        <w:color w:val="000000"/>
                                        <w:sz w:val="21"/>
                                        <w:szCs w:val="21"/>
                                      </w:rPr>
                                      <w:br/>
                                      <w:t>La mancata pubblicazione, comporta una sanzione pari all’1% degli importi ricevuti con un importo minimo di 2.000 €, nonché la sanzione accessoria dell’adempimento agli obblighi di pubblicazione. Nel caso in cui non venga ottemperato ulteriormente all’obbligo di pubblicazione, si applica la sanzione della restituzione integrale delle somme ai soggetti eroganti.</w:t>
                                    </w:r>
                                    <w:r>
                                      <w:rPr>
                                        <w:rFonts w:ascii="Helvetica" w:hAnsi="Helvetica" w:cs="Helvetica"/>
                                        <w:color w:val="000000"/>
                                        <w:sz w:val="21"/>
                                        <w:szCs w:val="21"/>
                                      </w:rPr>
                                      <w:br/>
                                      <w:t> </w:t>
                                    </w: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 w:rsidR="00F25379" w:rsidRDefault="00F25379"/>
                <w:p w:rsidR="00F25379" w:rsidRDefault="00F25379"/>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F25379">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25379">
                                <w:tc>
                                  <w:tcPr>
                                    <w:tcW w:w="0" w:type="auto"/>
                                    <w:hideMark/>
                                  </w:tcPr>
                                  <w:p w:rsidR="00F25379" w:rsidRDefault="00F25379"/>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F25379">
                                <w:tc>
                                  <w:tcPr>
                                    <w:tcW w:w="0" w:type="auto"/>
                                    <w:hideMark/>
                                  </w:tcPr>
                                  <w:p w:rsidR="00F25379" w:rsidRDefault="00F25379">
                                    <w:pPr>
                                      <w:spacing w:line="300" w:lineRule="auto"/>
                                      <w:jc w:val="both"/>
                                      <w:rPr>
                                        <w:rFonts w:ascii="Helvetica" w:hAnsi="Helvetica" w:cs="Helvetica"/>
                                        <w:color w:val="000000"/>
                                        <w:sz w:val="21"/>
                                        <w:szCs w:val="21"/>
                                      </w:rPr>
                                    </w:pPr>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F25379">
                          <w:trPr>
                            <w:jc w:val="center"/>
                          </w:trPr>
                          <w:tc>
                            <w:tcPr>
                              <w:tcW w:w="0" w:type="auto"/>
                              <w:hideMark/>
                            </w:tcPr>
                            <w:p w:rsidR="00F25379" w:rsidRDefault="00F2537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F25379">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2"/>
                                    </w:tblGrid>
                                    <w:tr w:rsidR="00F25379">
                                      <w:tc>
                                        <w:tcPr>
                                          <w:tcW w:w="0" w:type="auto"/>
                                          <w:shd w:val="clear" w:color="auto" w:fill="008DD2"/>
                                          <w:tcMar>
                                            <w:top w:w="270" w:type="dxa"/>
                                            <w:left w:w="270" w:type="dxa"/>
                                            <w:bottom w:w="270" w:type="dxa"/>
                                            <w:right w:w="270" w:type="dxa"/>
                                          </w:tcMar>
                                          <w:hideMark/>
                                        </w:tcPr>
                                        <w:p w:rsidR="00F25379" w:rsidRDefault="00F25379">
                                          <w:pPr>
                                            <w:pStyle w:val="Titolo2"/>
                                            <w:jc w:val="center"/>
                                            <w:rPr>
                                              <w:rFonts w:eastAsia="Times New Roman"/>
                                            </w:rPr>
                                          </w:pPr>
                                          <w:r>
                                            <w:rPr>
                                              <w:rFonts w:eastAsia="Times New Roman"/>
                                              <w:color w:val="FFFFFF"/>
                                            </w:rPr>
                                            <w:t>4. </w:t>
                                          </w:r>
                                          <w:r>
                                            <w:rPr>
                                              <w:rFonts w:eastAsia="Times New Roman"/>
                                            </w:rPr>
                                            <w:t xml:space="preserve">  </w:t>
                                          </w:r>
                                          <w:r>
                                            <w:rPr>
                                              <w:rFonts w:eastAsia="Times New Roman"/>
                                              <w:color w:val="FFFFFF"/>
                                            </w:rPr>
                                            <w:t xml:space="preserve">Adempimenti mese di </w:t>
                                          </w:r>
                                          <w:proofErr w:type="gramStart"/>
                                          <w:r>
                                            <w:rPr>
                                              <w:rFonts w:eastAsia="Times New Roman"/>
                                              <w:color w:val="FFFFFF"/>
                                            </w:rPr>
                                            <w:t>Febbraio</w:t>
                                          </w:r>
                                          <w:proofErr w:type="gramEnd"/>
                                        </w:p>
                                      </w:tc>
                                    </w:tr>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pPr>
                          <w:jc w:val="cente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537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5379">
                                <w:tc>
                                  <w:tcPr>
                                    <w:tcW w:w="0" w:type="auto"/>
                                    <w:tcMar>
                                      <w:top w:w="0" w:type="dxa"/>
                                      <w:left w:w="270" w:type="dxa"/>
                                      <w:bottom w:w="135" w:type="dxa"/>
                                      <w:right w:w="270" w:type="dxa"/>
                                    </w:tcMar>
                                    <w:hideMark/>
                                  </w:tcPr>
                                  <w:p w:rsidR="00F25379" w:rsidRDefault="00F25379">
                                    <w:pPr>
                                      <w:spacing w:line="300" w:lineRule="auto"/>
                                      <w:jc w:val="both"/>
                                      <w:rPr>
                                        <w:rFonts w:ascii="Helvetica" w:hAnsi="Helvetica" w:cs="Helvetica"/>
                                        <w:color w:val="000000"/>
                                        <w:sz w:val="21"/>
                                        <w:szCs w:val="21"/>
                                      </w:rPr>
                                    </w:pPr>
                                    <w:bookmarkStart w:id="0" w:name="_GoBack" w:colFirst="0" w:colLast="0"/>
                                    <w:r>
                                      <w:rPr>
                                        <w:rStyle w:val="Enfasigrassetto"/>
                                        <w:rFonts w:ascii="Helvetica" w:hAnsi="Helvetica" w:cs="Helvetica"/>
                                        <w:color w:val="000000"/>
                                        <w:sz w:val="21"/>
                                        <w:szCs w:val="21"/>
                                      </w:rPr>
                                      <w:t>17 Febbraio</w:t>
                                    </w:r>
                                    <w:r>
                                      <w:rPr>
                                        <w:rFonts w:ascii="Helvetica" w:hAnsi="Helvetica" w:cs="Helvetica"/>
                                        <w:color w:val="000000"/>
                                        <w:sz w:val="21"/>
                                        <w:szCs w:val="21"/>
                                      </w:rPr>
                                      <w:br/>
                                      <w:t xml:space="preserve">  </w:t>
                                    </w:r>
                                  </w:p>
                                  <w:p w:rsidR="00F25379" w:rsidRDefault="00F25379">
                                    <w:pPr>
                                      <w:numPr>
                                        <w:ilvl w:val="0"/>
                                        <w:numId w:val="4"/>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annotazione dei corrispettivi e dei proventi del mese precedente, da parte delle Associazioni sportive dilettantistiche, associazioni senza scopo di lucro e associazioni pro loco che hanno effettuato l'opzione per il regime fiscale agevolato di cui all'art. 1 della L. n. 398/1991, nel prospetto approvato con D.M. 11/02/1997.</w:t>
                                    </w:r>
                                  </w:p>
                                  <w:p w:rsidR="00F25379" w:rsidRDefault="00F25379">
                                    <w:pPr>
                                      <w:numPr>
                                        <w:ilvl w:val="0"/>
                                        <w:numId w:val="4"/>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versamento ritenute d’acconto sui compensi erogati nel mese precedente agli sportivi, bande musicali, ecc., eccedenti € 10.000,00;</w:t>
                                    </w:r>
                                  </w:p>
                                  <w:p w:rsidR="00F25379" w:rsidRDefault="00F25379">
                                    <w:pPr>
                                      <w:numPr>
                                        <w:ilvl w:val="0"/>
                                        <w:numId w:val="4"/>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versamento IVA mensile del mese di Gennaio 2019;</w:t>
                                    </w:r>
                                  </w:p>
                                  <w:p w:rsidR="00F25379" w:rsidRDefault="00F25379">
                                    <w:pPr>
                                      <w:numPr>
                                        <w:ilvl w:val="0"/>
                                        <w:numId w:val="4"/>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versamento IVA trimestrale (quarto trimestre 2019) per chi ha optato per la Legge 398/91;</w:t>
                                    </w:r>
                                  </w:p>
                                  <w:p w:rsidR="00F25379" w:rsidRDefault="00F25379">
                                    <w:pPr>
                                      <w:numPr>
                                        <w:ilvl w:val="0"/>
                                        <w:numId w:val="4"/>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versamento dell’imposta sugli intrattenimenti relativi alle attività svolte con carattere di continuità nel mese precedente;</w:t>
                                    </w:r>
                                  </w:p>
                                  <w:p w:rsidR="00F25379" w:rsidRDefault="00F25379">
                                    <w:pPr>
                                      <w:numPr>
                                        <w:ilvl w:val="0"/>
                                        <w:numId w:val="4"/>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versamento contributi previdenziali alla gestione separata INPS sui compensi corrisposti nel mese precedente ai collaboratori assimilati a lavoratori dipendenti (co.co.pro.) ed ai collaboratori occasionali che hanno superato la soglia di 5.000 € di reddito netto (6.250 € il lordo) nel corso di un anno solare;</w:t>
                                    </w:r>
                                  </w:p>
                                  <w:p w:rsidR="00F25379" w:rsidRDefault="00F25379">
                                    <w:pPr>
                                      <w:spacing w:line="300" w:lineRule="auto"/>
                                      <w:jc w:val="both"/>
                                      <w:rPr>
                                        <w:rFonts w:ascii="Helvetica" w:hAnsi="Helvetica" w:cs="Helvetica"/>
                                        <w:color w:val="000000"/>
                                        <w:sz w:val="21"/>
                                        <w:szCs w:val="21"/>
                                      </w:rPr>
                                    </w:pPr>
                                    <w:r>
                                      <w:rPr>
                                        <w:rFonts w:ascii="Helvetica" w:hAnsi="Helvetica" w:cs="Helvetica"/>
                                        <w:color w:val="000000"/>
                                        <w:sz w:val="21"/>
                                        <w:szCs w:val="21"/>
                                      </w:rPr>
                                      <w:lastRenderedPageBreak/>
                                      <w:t> </w:t>
                                    </w:r>
                                    <w:r>
                                      <w:rPr>
                                        <w:rFonts w:ascii="Helvetica" w:hAnsi="Helvetica" w:cs="Helvetica"/>
                                        <w:color w:val="000000"/>
                                        <w:sz w:val="21"/>
                                        <w:szCs w:val="21"/>
                                      </w:rPr>
                                      <w:br/>
                                      <w:t> </w:t>
                                    </w:r>
                                    <w:r>
                                      <w:rPr>
                                        <w:rFonts w:ascii="Helvetica" w:hAnsi="Helvetica" w:cs="Helvetica"/>
                                        <w:color w:val="000000"/>
                                        <w:sz w:val="21"/>
                                        <w:szCs w:val="21"/>
                                      </w:rPr>
                                      <w:br/>
                                    </w:r>
                                    <w:r>
                                      <w:rPr>
                                        <w:rStyle w:val="Enfasigrassetto"/>
                                        <w:rFonts w:ascii="Helvetica" w:hAnsi="Helvetica" w:cs="Helvetica"/>
                                        <w:color w:val="000000"/>
                                        <w:sz w:val="21"/>
                                        <w:szCs w:val="21"/>
                                      </w:rPr>
                                      <w:t>28 Febbraio</w:t>
                                    </w:r>
                                    <w:r>
                                      <w:rPr>
                                        <w:rFonts w:ascii="Helvetica" w:hAnsi="Helvetica" w:cs="Helvetica"/>
                                        <w:color w:val="000000"/>
                                        <w:sz w:val="21"/>
                                        <w:szCs w:val="21"/>
                                      </w:rPr>
                                      <w:t xml:space="preserve">  </w:t>
                                    </w:r>
                                  </w:p>
                                  <w:p w:rsidR="00F25379" w:rsidRDefault="00F25379">
                                    <w:pPr>
                                      <w:numPr>
                                        <w:ilvl w:val="0"/>
                                        <w:numId w:val="5"/>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Comunicazione all'Anagrafe Tributaria dei dati relativi alle erogazioni liberali in denaro deducibili e detraibili eseguite nell'anno precedente da persone fisiche alle ONLUS, Associazioni di Promozione Sociale, Fondazioni e Associazioni Riconosciute</w:t>
                                    </w:r>
                                  </w:p>
                                  <w:p w:rsidR="00F25379" w:rsidRDefault="00F25379">
                                    <w:pPr>
                                      <w:spacing w:line="300" w:lineRule="auto"/>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 </w:t>
                                    </w:r>
                                    <w:r>
                                      <w:rPr>
                                        <w:rFonts w:ascii="Helvetica" w:hAnsi="Helvetica" w:cs="Helvetica"/>
                                        <w:color w:val="000000"/>
                                        <w:sz w:val="21"/>
                                        <w:szCs w:val="21"/>
                                      </w:rPr>
                                      <w:br/>
                                      <w:t> </w:t>
                                    </w:r>
                                    <w:r>
                                      <w:rPr>
                                        <w:rFonts w:ascii="Helvetica" w:hAnsi="Helvetica" w:cs="Helvetica"/>
                                        <w:color w:val="000000"/>
                                        <w:sz w:val="21"/>
                                        <w:szCs w:val="21"/>
                                      </w:rPr>
                                      <w:br/>
                                      <w:t> </w:t>
                                    </w:r>
                                  </w:p>
                                </w:tc>
                              </w:tr>
                              <w:bookmarkEnd w:id="0"/>
                            </w:tbl>
                            <w:p w:rsidR="00F25379" w:rsidRDefault="00F25379">
                              <w:pPr>
                                <w:rPr>
                                  <w:rFonts w:eastAsia="Times New Roman"/>
                                  <w:sz w:val="20"/>
                                  <w:szCs w:val="20"/>
                                </w:rPr>
                              </w:pPr>
                            </w:p>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rsidTr="00F25379">
                    <w:trPr>
                      <w:trHeight w:val="351"/>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tc>
                        </w:tr>
                      </w:tbl>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270" w:type="dxa"/>
                          <w:bottom w:w="135" w:type="dxa"/>
                          <w:right w:w="270" w:type="dxa"/>
                        </w:tcMar>
                        <w:hideMark/>
                      </w:tcPr>
                      <w:p w:rsidR="00F25379" w:rsidRDefault="00F25379">
                        <w:pPr>
                          <w:rPr>
                            <w:rFonts w:eastAsia="Times New Roman"/>
                            <w:sz w:val="20"/>
                            <w:szCs w:val="20"/>
                          </w:rPr>
                        </w:pPr>
                      </w:p>
                    </w:tc>
                  </w:tr>
                </w:tbl>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25379">
                          <w:tc>
                            <w:tcPr>
                              <w:tcW w:w="0" w:type="auto"/>
                              <w:tcBorders>
                                <w:top w:val="single" w:sz="8" w:space="0" w:color="999999"/>
                                <w:left w:val="nil"/>
                                <w:bottom w:val="nil"/>
                                <w:right w:val="nil"/>
                              </w:tcBorders>
                              <w:vAlign w:val="center"/>
                              <w:hideMark/>
                            </w:tcPr>
                            <w:p w:rsidR="00F25379" w:rsidRDefault="00F25379"/>
                          </w:tc>
                        </w:tr>
                      </w:tbl>
                      <w:p w:rsidR="00F25379" w:rsidRDefault="00F25379">
                        <w:pPr>
                          <w:rPr>
                            <w:rFonts w:eastAsia="Times New Roman"/>
                            <w:sz w:val="20"/>
                            <w:szCs w:val="20"/>
                          </w:rPr>
                        </w:pPr>
                      </w:p>
                    </w:tc>
                  </w:tr>
                </w:tbl>
                <w:p w:rsidR="00F25379" w:rsidRDefault="00F25379"/>
                <w:p w:rsidR="00F25379" w:rsidRDefault="00F25379"/>
                <w:p w:rsidR="00F25379" w:rsidRDefault="00F25379"/>
                <w:tbl>
                  <w:tblPr>
                    <w:tblW w:w="5000" w:type="pct"/>
                    <w:tblCellMar>
                      <w:left w:w="0" w:type="dxa"/>
                      <w:right w:w="0" w:type="dxa"/>
                    </w:tblCellMar>
                    <w:tblLook w:val="04A0" w:firstRow="1" w:lastRow="0" w:firstColumn="1" w:lastColumn="0" w:noHBand="0" w:noVBand="1"/>
                  </w:tblPr>
                  <w:tblGrid>
                    <w:gridCol w:w="9000"/>
                  </w:tblGrid>
                  <w:tr w:rsidR="00F25379">
                    <w:tc>
                      <w:tcPr>
                        <w:tcW w:w="0" w:type="auto"/>
                        <w:tcMar>
                          <w:top w:w="135" w:type="dxa"/>
                          <w:left w:w="0" w:type="dxa"/>
                          <w:bottom w:w="0" w:type="dxa"/>
                          <w:right w:w="0" w:type="dxa"/>
                        </w:tcMar>
                        <w:hideMark/>
                      </w:tcPr>
                      <w:p w:rsidR="00F25379" w:rsidRDefault="00F25379">
                        <w:pPr>
                          <w:rPr>
                            <w:rFonts w:eastAsia="Times New Roman"/>
                            <w:sz w:val="20"/>
                            <w:szCs w:val="20"/>
                          </w:rPr>
                        </w:pPr>
                      </w:p>
                    </w:tc>
                  </w:tr>
                </w:tbl>
                <w:p w:rsidR="00F25379" w:rsidRDefault="00F25379">
                  <w:pPr>
                    <w:rPr>
                      <w:rFonts w:ascii="Calibri" w:eastAsia="Times New Roman" w:hAnsi="Calibri" w:cs="Calibri"/>
                      <w:sz w:val="22"/>
                      <w:szCs w:val="22"/>
                    </w:rPr>
                  </w:pPr>
                </w:p>
              </w:tc>
            </w:tr>
          </w:tbl>
          <w:p w:rsidR="00F25379" w:rsidRDefault="00F25379">
            <w:pPr>
              <w:jc w:val="center"/>
              <w:rPr>
                <w:rFonts w:eastAsia="Times New Roman"/>
                <w:sz w:val="20"/>
                <w:szCs w:val="20"/>
              </w:rPr>
            </w:pPr>
          </w:p>
        </w:tc>
      </w:tr>
    </w:tbl>
    <w:p w:rsidR="00D137D5" w:rsidRDefault="00D137D5"/>
    <w:sectPr w:rsidR="00D137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6C2"/>
    <w:multiLevelType w:val="multilevel"/>
    <w:tmpl w:val="856AB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80D31"/>
    <w:multiLevelType w:val="multilevel"/>
    <w:tmpl w:val="77CA0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703FE"/>
    <w:multiLevelType w:val="multilevel"/>
    <w:tmpl w:val="9E6C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60D0F"/>
    <w:multiLevelType w:val="multilevel"/>
    <w:tmpl w:val="3F0A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93C8D"/>
    <w:multiLevelType w:val="multilevel"/>
    <w:tmpl w:val="664A8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79"/>
    <w:rsid w:val="00D137D5"/>
    <w:rsid w:val="00F25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A0DA-7C48-4B4E-BEED-39766BB8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5379"/>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F25379"/>
    <w:pPr>
      <w:spacing w:line="300" w:lineRule="auto"/>
      <w:outlineLvl w:val="0"/>
    </w:pPr>
    <w:rPr>
      <w:rFonts w:ascii="Helvetica" w:hAnsi="Helvetica" w:cs="Helvetica"/>
      <w:b/>
      <w:bCs/>
      <w:color w:val="606060"/>
      <w:spacing w:val="-15"/>
      <w:kern w:val="36"/>
      <w:sz w:val="60"/>
      <w:szCs w:val="60"/>
    </w:rPr>
  </w:style>
  <w:style w:type="paragraph" w:styleId="Titolo2">
    <w:name w:val="heading 2"/>
    <w:basedOn w:val="Normale"/>
    <w:link w:val="Titolo2Carattere"/>
    <w:uiPriority w:val="9"/>
    <w:semiHidden/>
    <w:unhideWhenUsed/>
    <w:qFormat/>
    <w:rsid w:val="00F25379"/>
    <w:pPr>
      <w:spacing w:line="300" w:lineRule="auto"/>
      <w:outlineLvl w:val="1"/>
    </w:pPr>
    <w:rPr>
      <w:rFonts w:ascii="Helvetica" w:hAnsi="Helvetica" w:cs="Helvetica"/>
      <w:b/>
      <w:bCs/>
      <w:color w:val="404040"/>
      <w:spacing w:val="-11"/>
      <w:sz w:val="39"/>
      <w:szCs w:val="3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5379"/>
    <w:rPr>
      <w:rFonts w:ascii="Helvetica" w:hAnsi="Helvetica" w:cs="Helvetica"/>
      <w:b/>
      <w:bCs/>
      <w:color w:val="606060"/>
      <w:spacing w:val="-15"/>
      <w:kern w:val="36"/>
      <w:sz w:val="60"/>
      <w:szCs w:val="60"/>
      <w:lang w:eastAsia="it-IT"/>
    </w:rPr>
  </w:style>
  <w:style w:type="character" w:customStyle="1" w:styleId="Titolo2Carattere">
    <w:name w:val="Titolo 2 Carattere"/>
    <w:basedOn w:val="Carpredefinitoparagrafo"/>
    <w:link w:val="Titolo2"/>
    <w:uiPriority w:val="9"/>
    <w:semiHidden/>
    <w:rsid w:val="00F25379"/>
    <w:rPr>
      <w:rFonts w:ascii="Helvetica" w:hAnsi="Helvetica" w:cs="Helvetica"/>
      <w:b/>
      <w:bCs/>
      <w:color w:val="404040"/>
      <w:spacing w:val="-11"/>
      <w:sz w:val="39"/>
      <w:szCs w:val="39"/>
      <w:lang w:eastAsia="it-IT"/>
    </w:rPr>
  </w:style>
  <w:style w:type="character" w:styleId="Collegamentoipertestuale">
    <w:name w:val="Hyperlink"/>
    <w:basedOn w:val="Carpredefinitoparagrafo"/>
    <w:uiPriority w:val="99"/>
    <w:semiHidden/>
    <w:unhideWhenUsed/>
    <w:rsid w:val="00F25379"/>
    <w:rPr>
      <w:color w:val="0000FF"/>
      <w:u w:val="single"/>
    </w:rPr>
  </w:style>
  <w:style w:type="character" w:styleId="Enfasigrassetto">
    <w:name w:val="Strong"/>
    <w:basedOn w:val="Carpredefinitoparagrafo"/>
    <w:uiPriority w:val="22"/>
    <w:qFormat/>
    <w:rsid w:val="00F25379"/>
    <w:rPr>
      <w:b/>
      <w:bCs/>
    </w:rPr>
  </w:style>
  <w:style w:type="character" w:styleId="Enfasicorsivo">
    <w:name w:val="Emphasis"/>
    <w:basedOn w:val="Carpredefinitoparagrafo"/>
    <w:uiPriority w:val="20"/>
    <w:qFormat/>
    <w:rsid w:val="00F25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UL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1098</Words>
  <Characters>6264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Vaglio Elena</dc:creator>
  <cp:keywords/>
  <dc:description/>
  <cp:lastModifiedBy>Vaglio Elena</cp:lastModifiedBy>
  <cp:revision>1</cp:revision>
  <dcterms:created xsi:type="dcterms:W3CDTF">2020-02-21T09:37:00Z</dcterms:created>
  <dcterms:modified xsi:type="dcterms:W3CDTF">2020-02-21T09:40:00Z</dcterms:modified>
</cp:coreProperties>
</file>