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45" w:rsidRDefault="00A15F45" w:rsidP="00A15F45"/>
    <w:tbl>
      <w:tblPr>
        <w:tblW w:w="5000" w:type="pct"/>
        <w:jc w:val="center"/>
        <w:shd w:val="clear" w:color="auto" w:fill="F2F2F2"/>
        <w:tblCellMar>
          <w:left w:w="0" w:type="dxa"/>
          <w:right w:w="0" w:type="dxa"/>
        </w:tblCellMar>
        <w:tblLook w:val="04A0" w:firstRow="1" w:lastRow="0" w:firstColumn="1" w:lastColumn="0" w:noHBand="0" w:noVBand="1"/>
      </w:tblPr>
      <w:tblGrid>
        <w:gridCol w:w="9638"/>
      </w:tblGrid>
      <w:tr w:rsidR="00A15F45" w:rsidTr="00A15F45">
        <w:trPr>
          <w:jc w:val="center"/>
        </w:trPr>
        <w:tc>
          <w:tcPr>
            <w:tcW w:w="5000" w:type="pct"/>
            <w:shd w:val="clear" w:color="auto" w:fill="F2F2F2"/>
            <w:tcMar>
              <w:top w:w="300" w:type="dxa"/>
              <w:left w:w="300" w:type="dxa"/>
              <w:bottom w:w="300" w:type="dxa"/>
              <w:right w:w="30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A15F45">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15F45">
                    <w:trPr>
                      <w:jc w:val="center"/>
                    </w:trPr>
                    <w:tc>
                      <w:tcPr>
                        <w:tcW w:w="0" w:type="auto"/>
                        <w:shd w:val="clear" w:color="auto" w:fill="FFFFFF"/>
                        <w:tcMar>
                          <w:top w:w="135" w:type="dxa"/>
                          <w:left w:w="0" w:type="dxa"/>
                          <w:bottom w:w="0" w:type="dxa"/>
                          <w:right w:w="0" w:type="dxa"/>
                        </w:tcMar>
                        <w:hideMark/>
                      </w:tcPr>
                      <w:p w:rsidR="00A15F45" w:rsidRDefault="00A15F45"/>
                    </w:tc>
                  </w:tr>
                </w:tbl>
                <w:p w:rsidR="00A15F45" w:rsidRDefault="00A15F45">
                  <w:pPr>
                    <w:jc w:val="center"/>
                    <w:rPr>
                      <w:rFonts w:eastAsia="Times New Roman"/>
                      <w:sz w:val="20"/>
                      <w:szCs w:val="20"/>
                    </w:rPr>
                  </w:pPr>
                </w:p>
              </w:tc>
            </w:tr>
            <w:tr w:rsidR="00A15F45">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15F4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A15F45">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15F45">
                                <w:tc>
                                  <w:tcPr>
                                    <w:tcW w:w="0" w:type="auto"/>
                                    <w:hideMark/>
                                  </w:tcPr>
                                  <w:p w:rsidR="00A15F45" w:rsidRDefault="00A15F45">
                                    <w:pPr>
                                      <w:jc w:val="center"/>
                                      <w:rPr>
                                        <w:rFonts w:eastAsia="Times New Roman"/>
                                      </w:rPr>
                                    </w:pPr>
                                    <w:r>
                                      <w:rPr>
                                        <w:rFonts w:eastAsia="Times New Roman"/>
                                        <w:noProof/>
                                      </w:rPr>
                                      <w:drawing>
                                        <wp:inline distT="0" distB="0" distL="0" distR="0">
                                          <wp:extent cx="5715000" cy="1724025"/>
                                          <wp:effectExtent l="0" t="0" r="0" b="9525"/>
                                          <wp:docPr id="9" name="Immagine 9" descr="https://gallery.mailchimp.com/1041189d31d4a61eb1a63e3f6/images/db1c5ba2-2ca6-4bcf-bbbb-cfa92c3299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1041189d31d4a61eb1a63e3f6/images/db1c5ba2-2ca6-4bcf-bbbb-cfa92c3299a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724025"/>
                                                  </a:xfrm>
                                                  <a:prstGeom prst="rect">
                                                    <a:avLst/>
                                                  </a:prstGeom>
                                                  <a:noFill/>
                                                  <a:ln>
                                                    <a:noFill/>
                                                  </a:ln>
                                                </pic:spPr>
                                              </pic:pic>
                                            </a:graphicData>
                                          </a:graphic>
                                        </wp:inline>
                                      </w:drawing>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jc w:val="center"/>
                    <w:rPr>
                      <w:rFonts w:eastAsia="Times New Roman"/>
                      <w:sz w:val="20"/>
                      <w:szCs w:val="20"/>
                    </w:rPr>
                  </w:pPr>
                </w:p>
              </w:tc>
            </w:tr>
            <w:tr w:rsidR="00A15F45">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3051"/>
                    <w:gridCol w:w="5949"/>
                  </w:tblGrid>
                  <w:tr w:rsidR="00A15F45">
                    <w:trPr>
                      <w:jc w:val="center"/>
                    </w:trPr>
                    <w:tc>
                      <w:tcPr>
                        <w:tcW w:w="3000" w:type="dxa"/>
                        <w:shd w:val="clear" w:color="auto" w:fill="FFFFFF"/>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3051"/>
                        </w:tblGrid>
                        <w:tr w:rsidR="00A15F45">
                          <w:trPr>
                            <w:jc w:val="center"/>
                          </w:trPr>
                          <w:tc>
                            <w:tcPr>
                              <w:tcW w:w="0" w:type="auto"/>
                              <w:shd w:val="clear" w:color="auto" w:fill="FFFFFF"/>
                              <w:hideMark/>
                            </w:tcPr>
                            <w:tbl>
                              <w:tblPr>
                                <w:tblW w:w="5000" w:type="pct"/>
                                <w:jc w:val="right"/>
                                <w:tblCellMar>
                                  <w:left w:w="0" w:type="dxa"/>
                                  <w:right w:w="0" w:type="dxa"/>
                                </w:tblCellMar>
                                <w:tblLook w:val="04A0" w:firstRow="1" w:lastRow="0" w:firstColumn="1" w:lastColumn="0" w:noHBand="0" w:noVBand="1"/>
                              </w:tblPr>
                              <w:tblGrid>
                                <w:gridCol w:w="3051"/>
                              </w:tblGrid>
                              <w:tr w:rsidR="00A15F45">
                                <w:trPr>
                                  <w:jc w:val="right"/>
                                </w:trPr>
                                <w:tc>
                                  <w:tcPr>
                                    <w:tcW w:w="0" w:type="auto"/>
                                    <w:hideMark/>
                                  </w:tcPr>
                                  <w:tbl>
                                    <w:tblPr>
                                      <w:tblW w:w="5000" w:type="pct"/>
                                      <w:tblCellMar>
                                        <w:left w:w="0" w:type="dxa"/>
                                        <w:right w:w="0" w:type="dxa"/>
                                      </w:tblCellMar>
                                      <w:tblLook w:val="04A0" w:firstRow="1" w:lastRow="0" w:firstColumn="1" w:lastColumn="0" w:noHBand="0" w:noVBand="1"/>
                                    </w:tblPr>
                                    <w:tblGrid>
                                      <w:gridCol w:w="3051"/>
                                    </w:tblGrid>
                                    <w:tr w:rsidR="00A15F45">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
                                            <w:gridCol w:w="3044"/>
                                          </w:tblGrid>
                                          <w:tr w:rsidR="00A15F45">
                                            <w:trPr>
                                              <w:jc w:val="center"/>
                                            </w:trPr>
                                            <w:tc>
                                              <w:tcPr>
                                                <w:tcW w:w="0" w:type="auto"/>
                                                <w:hideMark/>
                                              </w:tcPr>
                                              <w:p w:rsidR="00A15F45" w:rsidRDefault="00A15F45">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44"/>
                                                </w:tblGrid>
                                                <w:tr w:rsidR="00A15F45">
                                                  <w:tc>
                                                    <w:tcPr>
                                                      <w:tcW w:w="0" w:type="auto"/>
                                                      <w:tcMar>
                                                        <w:top w:w="135" w:type="dxa"/>
                                                        <w:left w:w="270" w:type="dxa"/>
                                                        <w:bottom w:w="135" w:type="dxa"/>
                                                        <w:right w:w="270" w:type="dxa"/>
                                                      </w:tcMar>
                                                      <w:vAlign w:val="center"/>
                                                      <w:hideMark/>
                                                    </w:tcPr>
                                                    <w:tbl>
                                                      <w:tblPr>
                                                        <w:tblW w:w="5000" w:type="pct"/>
                                                        <w:shd w:val="clear" w:color="auto" w:fill="008DD2"/>
                                                        <w:tblLook w:val="04A0" w:firstRow="1" w:lastRow="0" w:firstColumn="1" w:lastColumn="0" w:noHBand="0" w:noVBand="1"/>
                                                      </w:tblPr>
                                                      <w:tblGrid>
                                                        <w:gridCol w:w="2504"/>
                                                      </w:tblGrid>
                                                      <w:tr w:rsidR="00A15F45">
                                                        <w:tc>
                                                          <w:tcPr>
                                                            <w:tcW w:w="0" w:type="auto"/>
                                                            <w:shd w:val="clear" w:color="auto" w:fill="008DD2"/>
                                                            <w:tcMar>
                                                              <w:top w:w="270" w:type="dxa"/>
                                                              <w:left w:w="270" w:type="dxa"/>
                                                              <w:bottom w:w="270" w:type="dxa"/>
                                                              <w:right w:w="270" w:type="dxa"/>
                                                            </w:tcMar>
                                                            <w:hideMark/>
                                                          </w:tcPr>
                                                          <w:p w:rsidR="00A15F45" w:rsidRDefault="00A15F45">
                                                            <w:pPr>
                                                              <w:pStyle w:val="Titolo2"/>
                                                              <w:spacing w:line="312" w:lineRule="atLeast"/>
                                                              <w:jc w:val="center"/>
                                                              <w:rPr>
                                                                <w:rFonts w:eastAsia="Times New Roman"/>
                                                              </w:rPr>
                                                            </w:pPr>
                                                            <w:r>
                                                              <w:rPr>
                                                                <w:rStyle w:val="Enfasigrassetto"/>
                                                                <w:rFonts w:ascii="Arial" w:eastAsia="Times New Roman" w:hAnsi="Arial" w:cs="Arial"/>
                                                                <w:b/>
                                                                <w:bCs/>
                                                                <w:color w:val="FFFFFF"/>
                                                              </w:rPr>
                                                              <w:t>N. 02</w:t>
                                                            </w:r>
                                                            <w:r>
                                                              <w:rPr>
                                                                <w:rFonts w:ascii="Arial" w:eastAsia="Times New Roman" w:hAnsi="Arial" w:cs="Arial"/>
                                                                <w:color w:val="FFFFFF"/>
                                                              </w:rPr>
                                                              <w:br/>
                                                            </w:r>
                                                            <w:r>
                                                              <w:rPr>
                                                                <w:rFonts w:ascii="Arial" w:eastAsia="Times New Roman" w:hAnsi="Arial" w:cs="Arial"/>
                                                                <w:color w:val="FFFFFF"/>
                                                              </w:rPr>
                                                              <w:br/>
                                                            </w:r>
                                                            <w:r>
                                                              <w:rPr>
                                                                <w:rStyle w:val="Enfasigrassetto"/>
                                                                <w:rFonts w:ascii="Arial" w:eastAsia="Times New Roman" w:hAnsi="Arial" w:cs="Arial"/>
                                                                <w:b/>
                                                                <w:bCs/>
                                                                <w:color w:val="FFFFFF"/>
                                                              </w:rPr>
                                                              <w:t>Febbraio</w:t>
                                                            </w:r>
                                                            <w:r>
                                                              <w:rPr>
                                                                <w:rFonts w:ascii="Arial" w:eastAsia="Times New Roman" w:hAnsi="Arial" w:cs="Arial"/>
                                                                <w:color w:val="FFFFFF"/>
                                                              </w:rPr>
                                                              <w:br/>
                                                            </w:r>
                                                            <w:r>
                                                              <w:rPr>
                                                                <w:rFonts w:ascii="Arial" w:eastAsia="Times New Roman" w:hAnsi="Arial" w:cs="Arial"/>
                                                                <w:color w:val="FFFFFF"/>
                                                              </w:rPr>
                                                              <w:br/>
                                                            </w:r>
                                                            <w:r>
                                                              <w:rPr>
                                                                <w:rStyle w:val="Enfasigrassetto"/>
                                                                <w:rFonts w:ascii="Arial" w:eastAsia="Times New Roman" w:hAnsi="Arial" w:cs="Arial"/>
                                                                <w:b/>
                                                                <w:bCs/>
                                                                <w:color w:val="FFFFFF"/>
                                                              </w:rPr>
                                                              <w:t>2018</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jc w:val="center"/>
                                            <w:rPr>
                                              <w:rFonts w:eastAsia="Times New Roman"/>
                                              <w:sz w:val="20"/>
                                              <w:szCs w:val="20"/>
                                            </w:rPr>
                                          </w:pPr>
                                        </w:p>
                                      </w:tc>
                                    </w:tr>
                                  </w:tbl>
                                  <w:p w:rsidR="00A15F45" w:rsidRDefault="00A15F45">
                                    <w:pPr>
                                      <w:rPr>
                                        <w:rFonts w:eastAsia="Times New Roman"/>
                                        <w:sz w:val="20"/>
                                        <w:szCs w:val="20"/>
                                      </w:rPr>
                                    </w:pPr>
                                  </w:p>
                                </w:tc>
                              </w:tr>
                            </w:tbl>
                            <w:p w:rsidR="00A15F45" w:rsidRDefault="00A15F45">
                              <w:pPr>
                                <w:jc w:val="right"/>
                                <w:rPr>
                                  <w:rFonts w:eastAsia="Times New Roman"/>
                                  <w:sz w:val="20"/>
                                  <w:szCs w:val="20"/>
                                </w:rPr>
                              </w:pPr>
                            </w:p>
                          </w:tc>
                        </w:tr>
                      </w:tbl>
                      <w:p w:rsidR="00A15F45" w:rsidRDefault="00A15F45">
                        <w:pPr>
                          <w:jc w:val="center"/>
                          <w:rPr>
                            <w:rFonts w:eastAsia="Times New Roman"/>
                            <w:sz w:val="20"/>
                            <w:szCs w:val="20"/>
                          </w:rPr>
                        </w:pPr>
                      </w:p>
                    </w:tc>
                    <w:tc>
                      <w:tcPr>
                        <w:tcW w:w="585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5949"/>
                        </w:tblGrid>
                        <w:tr w:rsidR="00A15F4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5949"/>
                              </w:tblGrid>
                              <w:tr w:rsidR="00A15F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949"/>
                                    </w:tblGrid>
                                    <w:tr w:rsidR="00A15F45">
                                      <w:tc>
                                        <w:tcPr>
                                          <w:tcW w:w="595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5949"/>
                                          </w:tblGrid>
                                          <w:tr w:rsidR="00A15F45">
                                            <w:tc>
                                              <w:tcPr>
                                                <w:tcW w:w="0" w:type="auto"/>
                                                <w:tcMar>
                                                  <w:top w:w="0" w:type="dxa"/>
                                                  <w:left w:w="270" w:type="dxa"/>
                                                  <w:bottom w:w="135" w:type="dxa"/>
                                                  <w:right w:w="270" w:type="dxa"/>
                                                </w:tcMar>
                                                <w:hideMark/>
                                              </w:tcPr>
                                              <w:p w:rsidR="00A15F45" w:rsidRDefault="00A15F45">
                                                <w:pPr>
                                                  <w:pStyle w:val="Titolo1"/>
                                                  <w:rPr>
                                                    <w:rFonts w:eastAsia="Times New Roman"/>
                                                  </w:rPr>
                                                </w:pPr>
                                                <w:r>
                                                  <w:rPr>
                                                    <w:rFonts w:eastAsia="Times New Roman"/>
                                                  </w:rPr>
                                                  <w:t>In questo numero:</w:t>
                                                </w:r>
                                              </w:p>
                                              <w:p w:rsidR="00A15F45" w:rsidRDefault="00A15F45">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Style w:val="Enfasigrassetto"/>
                                                    <w:rFonts w:ascii="Helvetica" w:eastAsia="Times New Roman" w:hAnsi="Helvetica" w:cs="Helvetica"/>
                                                    <w:color w:val="606060"/>
                                                    <w:sz w:val="23"/>
                                                    <w:szCs w:val="23"/>
                                                  </w:rPr>
                                                  <w:t>Novità - Invio dati delle erogazioni liberali</w:t>
                                                </w:r>
                                              </w:p>
                                              <w:p w:rsidR="00A15F45" w:rsidRDefault="00A15F45">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Style w:val="Enfasigrassetto"/>
                                                    <w:rFonts w:ascii="Helvetica" w:eastAsia="Times New Roman" w:hAnsi="Helvetica" w:cs="Helvetica"/>
                                                    <w:color w:val="606060"/>
                                                    <w:sz w:val="23"/>
                                                    <w:szCs w:val="23"/>
                                                  </w:rPr>
                                                  <w:t xml:space="preserve">Novità - Tracciabilità finanziaria dei pagamenti </w:t>
                                                </w:r>
                                                <w:proofErr w:type="gramStart"/>
                                                <w:r>
                                                  <w:rPr>
                                                    <w:rStyle w:val="Enfasigrassetto"/>
                                                    <w:rFonts w:ascii="Helvetica" w:eastAsia="Times New Roman" w:hAnsi="Helvetica" w:cs="Helvetica"/>
                                                    <w:color w:val="606060"/>
                                                    <w:sz w:val="23"/>
                                                    <w:szCs w:val="23"/>
                                                  </w:rPr>
                                                  <w:t>( 1</w:t>
                                                </w:r>
                                                <w:proofErr w:type="gramEnd"/>
                                                <w:r>
                                                  <w:rPr>
                                                    <w:rStyle w:val="Enfasigrassetto"/>
                                                    <w:rFonts w:ascii="Helvetica" w:eastAsia="Times New Roman" w:hAnsi="Helvetica" w:cs="Helvetica"/>
                                                    <w:color w:val="606060"/>
                                                    <w:sz w:val="23"/>
                                                    <w:szCs w:val="23"/>
                                                  </w:rPr>
                                                  <w:t>° Luglio 2018)</w:t>
                                                </w:r>
                                              </w:p>
                                              <w:p w:rsidR="00A15F45" w:rsidRDefault="00A15F45">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Style w:val="Enfasigrassetto"/>
                                                    <w:rFonts w:ascii="Helvetica" w:eastAsia="Times New Roman" w:hAnsi="Helvetica" w:cs="Helvetica"/>
                                                    <w:color w:val="606060"/>
                                                    <w:sz w:val="23"/>
                                                    <w:szCs w:val="23"/>
                                                  </w:rPr>
                                                  <w:t>Legge 124/2017: “Legge annuale per il mercato e la concorrenza”</w:t>
                                                </w:r>
                                              </w:p>
                                              <w:p w:rsidR="00A15F45" w:rsidRDefault="00A15F45">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Style w:val="Enfasigrassetto"/>
                                                    <w:rFonts w:ascii="Helvetica" w:eastAsia="Times New Roman" w:hAnsi="Helvetica" w:cs="Helvetica"/>
                                                    <w:color w:val="606060"/>
                                                    <w:sz w:val="23"/>
                                                    <w:szCs w:val="23"/>
                                                  </w:rPr>
                                                  <w:t>Adempimenti mese di Febbraio</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jc w:val="center"/>
                          <w:rPr>
                            <w:rFonts w:eastAsia="Times New Roman"/>
                            <w:sz w:val="20"/>
                            <w:szCs w:val="20"/>
                          </w:rPr>
                        </w:pPr>
                      </w:p>
                    </w:tc>
                  </w:tr>
                </w:tbl>
                <w:p w:rsidR="00A15F45" w:rsidRDefault="00A15F45">
                  <w:pPr>
                    <w:jc w:val="center"/>
                    <w:rPr>
                      <w:rFonts w:eastAsia="Times New Roman"/>
                      <w:sz w:val="20"/>
                      <w:szCs w:val="20"/>
                    </w:rPr>
                  </w:pPr>
                </w:p>
              </w:tc>
            </w:tr>
            <w:tr w:rsidR="00A15F45">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15F45">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A15F45">
                                <w:tc>
                                  <w:tcPr>
                                    <w:tcW w:w="0" w:type="auto"/>
                                    <w:tcBorders>
                                      <w:top w:val="single" w:sz="6" w:space="0" w:color="999999"/>
                                      <w:left w:val="nil"/>
                                      <w:bottom w:val="nil"/>
                                      <w:right w:val="nil"/>
                                    </w:tcBorders>
                                    <w:vAlign w:val="center"/>
                                    <w:hideMark/>
                                  </w:tcPr>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A15F45">
                                <w:trPr>
                                  <w:jc w:val="center"/>
                                </w:trPr>
                                <w:tc>
                                  <w:tcPr>
                                    <w:tcW w:w="0" w:type="auto"/>
                                    <w:hideMark/>
                                  </w:tcPr>
                                  <w:p w:rsidR="00A15F45" w:rsidRDefault="00A15F45">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A15F45">
                                      <w:tc>
                                        <w:tcPr>
                                          <w:tcW w:w="0" w:type="auto"/>
                                          <w:tcMar>
                                            <w:top w:w="135" w:type="dxa"/>
                                            <w:left w:w="270" w:type="dxa"/>
                                            <w:bottom w:w="135" w:type="dxa"/>
                                            <w:right w:w="270" w:type="dxa"/>
                                          </w:tcMar>
                                          <w:vAlign w:val="center"/>
                                          <w:hideMark/>
                                        </w:tcPr>
                                        <w:tbl>
                                          <w:tblPr>
                                            <w:tblW w:w="5000" w:type="pct"/>
                                            <w:shd w:val="clear" w:color="auto" w:fill="008DD2"/>
                                            <w:tblLook w:val="04A0" w:firstRow="1" w:lastRow="0" w:firstColumn="1" w:lastColumn="0" w:noHBand="0" w:noVBand="1"/>
                                          </w:tblPr>
                                          <w:tblGrid>
                                            <w:gridCol w:w="8454"/>
                                          </w:tblGrid>
                                          <w:tr w:rsidR="00A15F45">
                                            <w:tc>
                                              <w:tcPr>
                                                <w:tcW w:w="0" w:type="auto"/>
                                                <w:shd w:val="clear" w:color="auto" w:fill="008DD2"/>
                                                <w:tcMar>
                                                  <w:top w:w="270" w:type="dxa"/>
                                                  <w:left w:w="270" w:type="dxa"/>
                                                  <w:bottom w:w="270" w:type="dxa"/>
                                                  <w:right w:w="270" w:type="dxa"/>
                                                </w:tcMar>
                                                <w:hideMark/>
                                              </w:tcPr>
                                              <w:p w:rsidR="00A15F45" w:rsidRDefault="00A15F45">
                                                <w:pPr>
                                                  <w:pStyle w:val="Titolo2"/>
                                                  <w:jc w:val="center"/>
                                                  <w:rPr>
                                                    <w:rFonts w:eastAsia="Times New Roman"/>
                                                  </w:rPr>
                                                </w:pPr>
                                                <w:r>
                                                  <w:rPr>
                                                    <w:rFonts w:eastAsia="Times New Roman"/>
                                                    <w:color w:val="FFFFFF"/>
                                                  </w:rPr>
                                                  <w:t>1.   Novità – Invio dati delle erogazioni liberali</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jc w:val="cente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15F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15F45">
                                      <w:tc>
                                        <w:tcPr>
                                          <w:tcW w:w="0" w:type="auto"/>
                                          <w:tcMar>
                                            <w:top w:w="0" w:type="dxa"/>
                                            <w:left w:w="270" w:type="dxa"/>
                                            <w:bottom w:w="135" w:type="dxa"/>
                                            <w:right w:w="270" w:type="dxa"/>
                                          </w:tcMar>
                                          <w:hideMark/>
                                        </w:tcPr>
                                        <w:p w:rsidR="00A15F45" w:rsidRDefault="00A15F45">
                                          <w:pPr>
                                            <w:spacing w:before="240" w:after="240" w:line="300" w:lineRule="auto"/>
                                            <w:jc w:val="both"/>
                                            <w:rPr>
                                              <w:rFonts w:ascii="Helvetica" w:hAnsi="Helvetica" w:cs="Helvetica"/>
                                              <w:color w:val="000000"/>
                                              <w:sz w:val="21"/>
                                              <w:szCs w:val="21"/>
                                            </w:rPr>
                                          </w:pPr>
                                          <w:r>
                                            <w:rPr>
                                              <w:rFonts w:ascii="Helvetica" w:hAnsi="Helvetica" w:cs="Helvetica"/>
                                              <w:color w:val="000000"/>
                                              <w:sz w:val="21"/>
                                              <w:szCs w:val="21"/>
                                            </w:rPr>
                                            <w:t>La nuova comunicazione telematica dei dati relativi alle erogazioni liberali in denaro deducibili e detraibili eseguite nell’anno precedente dalle persone fisiche è da inviare all’Agenzia delle Entrate entro il prossimo 28 Febbraio.</w:t>
                                          </w:r>
                                          <w:r>
                                            <w:rPr>
                                              <w:rFonts w:ascii="Helvetica" w:hAnsi="Helvetica" w:cs="Helvetica"/>
                                              <w:color w:val="000000"/>
                                              <w:sz w:val="21"/>
                                              <w:szCs w:val="21"/>
                                            </w:rPr>
                                            <w:br/>
                                            <w:t>L’invio della comunicazione, deriva dalla necessità dell’Agenzia delle Entrate di acquisire il maggior numero di informazioni utili per predisporre la dichiarazione precompilata, è stato fissato dal D.M. 30 gennaio 2018, pubblicato sulla Gazzetta Ufficiale del 6 febbraio scorso.</w:t>
                                          </w:r>
                                          <w:r>
                                            <w:rPr>
                                              <w:rFonts w:ascii="Helvetica" w:hAnsi="Helvetica" w:cs="Helvetica"/>
                                              <w:color w:val="000000"/>
                                              <w:sz w:val="21"/>
                                              <w:szCs w:val="21"/>
                                            </w:rPr>
                                            <w:br/>
                                            <w:t>Destinatari dell’adempimento sono i soggetti che hanno ricevuto le liberalità e cioè:</w:t>
                                          </w:r>
                                        </w:p>
                                        <w:p w:rsidR="00A15F45" w:rsidRDefault="00A15F45">
                                          <w:pPr>
                                            <w:numPr>
                                              <w:ilvl w:val="0"/>
                                              <w:numId w:val="2"/>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Style w:val="Enfasigrassetto"/>
                                              <w:rFonts w:ascii="Helvetica" w:eastAsia="Times New Roman" w:hAnsi="Helvetica" w:cs="Helvetica"/>
                                              <w:color w:val="000000"/>
                                              <w:sz w:val="21"/>
                                              <w:szCs w:val="21"/>
                                            </w:rPr>
                                            <w:t>le</w:t>
                                          </w:r>
                                          <w:proofErr w:type="gramEnd"/>
                                          <w:r>
                                            <w:rPr>
                                              <w:rStyle w:val="Enfasigrassetto"/>
                                              <w:rFonts w:ascii="Helvetica" w:eastAsia="Times New Roman" w:hAnsi="Helvetica" w:cs="Helvetica"/>
                                              <w:color w:val="000000"/>
                                              <w:sz w:val="21"/>
                                              <w:szCs w:val="21"/>
                                            </w:rPr>
                                            <w:t> </w:t>
                                          </w:r>
                                          <w:proofErr w:type="spellStart"/>
                                          <w:r>
                                            <w:rPr>
                                              <w:rStyle w:val="Enfasigrassetto"/>
                                              <w:rFonts w:ascii="Helvetica" w:eastAsia="Times New Roman" w:hAnsi="Helvetica" w:cs="Helvetica"/>
                                              <w:color w:val="000000"/>
                                              <w:sz w:val="21"/>
                                              <w:szCs w:val="21"/>
                                            </w:rPr>
                                            <w:t>Onlus</w:t>
                                          </w:r>
                                          <w:proofErr w:type="spellEnd"/>
                                          <w:r>
                                            <w:rPr>
                                              <w:rStyle w:val="Enfasigrassetto"/>
                                              <w:rFonts w:ascii="Helvetica" w:eastAsia="Times New Roman" w:hAnsi="Helvetica" w:cs="Helvetica"/>
                                              <w:color w:val="000000"/>
                                              <w:sz w:val="21"/>
                                              <w:szCs w:val="21"/>
                                            </w:rPr>
                                            <w:t>;</w:t>
                                          </w:r>
                                        </w:p>
                                        <w:p w:rsidR="00A15F45" w:rsidRDefault="00A15F45">
                                          <w:pPr>
                                            <w:numPr>
                                              <w:ilvl w:val="0"/>
                                              <w:numId w:val="2"/>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Style w:val="Enfasigrassetto"/>
                                              <w:rFonts w:ascii="Helvetica" w:eastAsia="Times New Roman" w:hAnsi="Helvetica" w:cs="Helvetica"/>
                                              <w:color w:val="000000"/>
                                              <w:sz w:val="21"/>
                                              <w:szCs w:val="21"/>
                                            </w:rPr>
                                            <w:t>le</w:t>
                                          </w:r>
                                          <w:proofErr w:type="gramEnd"/>
                                          <w:r>
                                            <w:rPr>
                                              <w:rStyle w:val="Enfasigrassetto"/>
                                              <w:rFonts w:ascii="Helvetica" w:eastAsia="Times New Roman" w:hAnsi="Helvetica" w:cs="Helvetica"/>
                                              <w:color w:val="000000"/>
                                              <w:sz w:val="21"/>
                                              <w:szCs w:val="21"/>
                                            </w:rPr>
                                            <w:t> associazioni di promozione sociale;</w:t>
                                          </w:r>
                                        </w:p>
                                        <w:p w:rsidR="00A15F45" w:rsidRDefault="00A15F45">
                                          <w:pPr>
                                            <w:numPr>
                                              <w:ilvl w:val="0"/>
                                              <w:numId w:val="2"/>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Style w:val="Enfasigrassetto"/>
                                              <w:rFonts w:ascii="Helvetica" w:eastAsia="Times New Roman" w:hAnsi="Helvetica" w:cs="Helvetica"/>
                                              <w:color w:val="000000"/>
                                              <w:sz w:val="21"/>
                                              <w:szCs w:val="21"/>
                                            </w:rPr>
                                            <w:lastRenderedPageBreak/>
                                            <w:t>le</w:t>
                                          </w:r>
                                          <w:proofErr w:type="gramEnd"/>
                                          <w:r>
                                            <w:rPr>
                                              <w:rStyle w:val="Enfasigrassetto"/>
                                              <w:rFonts w:ascii="Helvetica" w:eastAsia="Times New Roman" w:hAnsi="Helvetica" w:cs="Helvetica"/>
                                              <w:color w:val="000000"/>
                                              <w:sz w:val="21"/>
                                              <w:szCs w:val="21"/>
                                            </w:rPr>
                                            <w:t> fondazioni e associazioni riconosciute, con scopo statutario la tutela, promozione e valorizzazione dei beni di interesse artistico, storico e paesaggistico;</w:t>
                                          </w:r>
                                        </w:p>
                                        <w:p w:rsidR="00A15F45" w:rsidRDefault="00A15F45">
                                          <w:pPr>
                                            <w:numPr>
                                              <w:ilvl w:val="0"/>
                                              <w:numId w:val="2"/>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Style w:val="Enfasigrassetto"/>
                                              <w:rFonts w:ascii="Helvetica" w:eastAsia="Times New Roman" w:hAnsi="Helvetica" w:cs="Helvetica"/>
                                              <w:color w:val="000000"/>
                                              <w:sz w:val="21"/>
                                              <w:szCs w:val="21"/>
                                            </w:rPr>
                                            <w:t>le</w:t>
                                          </w:r>
                                          <w:proofErr w:type="gramEnd"/>
                                          <w:r>
                                            <w:rPr>
                                              <w:rStyle w:val="Enfasigrassetto"/>
                                              <w:rFonts w:ascii="Helvetica" w:eastAsia="Times New Roman" w:hAnsi="Helvetica" w:cs="Helvetica"/>
                                              <w:color w:val="000000"/>
                                              <w:sz w:val="21"/>
                                              <w:szCs w:val="21"/>
                                            </w:rPr>
                                            <w:t> fondazioni e associazioni riconosciute, con scopo statutario lo svolgimento o la promozione di ricerca scientifica, individuate con DPCM</w:t>
                                          </w:r>
                                          <w:r>
                                            <w:rPr>
                                              <w:rFonts w:ascii="Helvetica" w:eastAsia="Times New Roman" w:hAnsi="Helvetica" w:cs="Helvetica"/>
                                              <w:color w:val="000000"/>
                                              <w:sz w:val="21"/>
                                              <w:szCs w:val="21"/>
                                            </w:rPr>
                                            <w:t>.</w:t>
                                          </w:r>
                                        </w:p>
                                        <w:p w:rsidR="00A15F45" w:rsidRDefault="00A15F45">
                                          <w:pPr>
                                            <w:spacing w:before="240" w:after="240" w:line="300" w:lineRule="auto"/>
                                            <w:jc w:val="both"/>
                                            <w:rPr>
                                              <w:rFonts w:ascii="Helvetica" w:hAnsi="Helvetica" w:cs="Helvetica"/>
                                              <w:color w:val="000000"/>
                                              <w:sz w:val="21"/>
                                              <w:szCs w:val="21"/>
                                            </w:rPr>
                                          </w:pPr>
                                          <w:r>
                                            <w:rPr>
                                              <w:rFonts w:ascii="Helvetica" w:hAnsi="Helvetica" w:cs="Helvetica"/>
                                              <w:color w:val="000000"/>
                                              <w:sz w:val="21"/>
                                              <w:szCs w:val="21"/>
                                            </w:rPr>
                                            <w:t> </w:t>
                                          </w:r>
                                          <w:r>
                                            <w:rPr>
                                              <w:rFonts w:ascii="Helvetica" w:hAnsi="Helvetica" w:cs="Helvetica"/>
                                              <w:color w:val="000000"/>
                                              <w:sz w:val="21"/>
                                              <w:szCs w:val="21"/>
                                            </w:rPr>
                                            <w:br/>
                                            <w:t>L’adempimento, sia per il 2017 sia, se non dovessero cambiare le cose, per il 2018 e il 2019, è al momento facoltativo (diventerà obbligatorio probabilmente solo dal 2020</w:t>
                                          </w:r>
                                          <w:proofErr w:type="gramStart"/>
                                          <w:r>
                                            <w:rPr>
                                              <w:rFonts w:ascii="Helvetica" w:hAnsi="Helvetica" w:cs="Helvetica"/>
                                              <w:color w:val="000000"/>
                                              <w:sz w:val="21"/>
                                              <w:szCs w:val="21"/>
                                            </w:rPr>
                                            <w:t>).</w:t>
                                          </w:r>
                                          <w:r>
                                            <w:rPr>
                                              <w:rFonts w:ascii="Helvetica" w:hAnsi="Helvetica" w:cs="Helvetica"/>
                                              <w:color w:val="000000"/>
                                              <w:sz w:val="21"/>
                                              <w:szCs w:val="21"/>
                                            </w:rPr>
                                            <w:br/>
                                            <w:t>Quindi</w:t>
                                          </w:r>
                                          <w:proofErr w:type="gramEnd"/>
                                          <w:r>
                                            <w:rPr>
                                              <w:rFonts w:ascii="Helvetica" w:hAnsi="Helvetica" w:cs="Helvetica"/>
                                              <w:color w:val="000000"/>
                                              <w:sz w:val="21"/>
                                              <w:szCs w:val="21"/>
                                            </w:rPr>
                                            <w:t xml:space="preserve"> non è prevista alcuna sanzione in caso di inosservanza.</w:t>
                                          </w:r>
                                          <w:r>
                                            <w:rPr>
                                              <w:rFonts w:ascii="Helvetica" w:hAnsi="Helvetica" w:cs="Helvetica"/>
                                              <w:color w:val="000000"/>
                                              <w:sz w:val="21"/>
                                              <w:szCs w:val="21"/>
                                            </w:rPr>
                                            <w:br/>
                                            <w:t>I dati da comunicare sono relativi alle erogazioni liberali effettuate tramite banca o ufficio postale o con altri sistemi di pagamento certificati e tracciabili, con l’indicazione dati identificativi dei soggetti eroganti.</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A15F45">
                                <w:tc>
                                  <w:tcPr>
                                    <w:tcW w:w="0" w:type="auto"/>
                                    <w:tcBorders>
                                      <w:top w:val="single" w:sz="6" w:space="0" w:color="999999"/>
                                      <w:left w:val="nil"/>
                                      <w:bottom w:val="nil"/>
                                      <w:right w:val="nil"/>
                                    </w:tcBorders>
                                    <w:vAlign w:val="center"/>
                                    <w:hideMark/>
                                  </w:tcPr>
                                  <w:p w:rsidR="00A15F45" w:rsidRDefault="00A15F45">
                                    <w:pPr>
                                      <w:rPr>
                                        <w:rFonts w:eastAsia="Times New Roman"/>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15F45">
                                <w:tc>
                                  <w:tcPr>
                                    <w:tcW w:w="0" w:type="auto"/>
                                    <w:tcMar>
                                      <w:top w:w="0" w:type="dxa"/>
                                      <w:left w:w="135" w:type="dxa"/>
                                      <w:bottom w:w="0" w:type="dxa"/>
                                      <w:right w:w="135" w:type="dxa"/>
                                    </w:tcMar>
                                    <w:hideMark/>
                                  </w:tcPr>
                                  <w:p w:rsidR="00A15F45" w:rsidRDefault="00A15F45">
                                    <w:pPr>
                                      <w:jc w:val="center"/>
                                      <w:rPr>
                                        <w:rFonts w:eastAsia="Times New Roman"/>
                                      </w:rPr>
                                    </w:pPr>
                                    <w:r>
                                      <w:rPr>
                                        <w:rFonts w:eastAsia="Times New Roman"/>
                                        <w:noProof/>
                                      </w:rPr>
                                      <w:drawing>
                                        <wp:inline distT="0" distB="0" distL="0" distR="0">
                                          <wp:extent cx="5372100" cy="2124075"/>
                                          <wp:effectExtent l="0" t="0" r="0" b="9525"/>
                                          <wp:docPr id="8" name="Immagine 8" descr="https://gallery.mailchimp.com/1041189d31d4a61eb1a63e3f6/images/599da028-4efc-4296-b1e3-273d22256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1041189d31d4a61eb1a63e3f6/images/599da028-4efc-4296-b1e3-273d222561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2124075"/>
                                                  </a:xfrm>
                                                  <a:prstGeom prst="rect">
                                                    <a:avLst/>
                                                  </a:prstGeom>
                                                  <a:noFill/>
                                                  <a:ln>
                                                    <a:noFill/>
                                                  </a:ln>
                                                </pic:spPr>
                                              </pic:pic>
                                            </a:graphicData>
                                          </a:graphic>
                                        </wp:inline>
                                      </w:drawing>
                                    </w: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A15F45">
                                <w:tc>
                                  <w:tcPr>
                                    <w:tcW w:w="0" w:type="auto"/>
                                    <w:tcBorders>
                                      <w:top w:val="single" w:sz="6" w:space="0" w:color="999999"/>
                                      <w:left w:val="nil"/>
                                      <w:bottom w:val="nil"/>
                                      <w:right w:val="nil"/>
                                    </w:tcBorders>
                                    <w:vAlign w:val="center"/>
                                    <w:hideMark/>
                                  </w:tcPr>
                                  <w:p w:rsidR="00A15F45" w:rsidRDefault="00A15F45">
                                    <w:pPr>
                                      <w:rPr>
                                        <w:rFonts w:eastAsia="Times New Roman"/>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A15F45">
                                <w:trPr>
                                  <w:jc w:val="center"/>
                                </w:trPr>
                                <w:tc>
                                  <w:tcPr>
                                    <w:tcW w:w="0" w:type="auto"/>
                                    <w:hideMark/>
                                  </w:tcPr>
                                  <w:p w:rsidR="00A15F45" w:rsidRDefault="00A15F45">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A15F45">
                                      <w:tc>
                                        <w:tcPr>
                                          <w:tcW w:w="0" w:type="auto"/>
                                          <w:tcMar>
                                            <w:top w:w="135" w:type="dxa"/>
                                            <w:left w:w="270" w:type="dxa"/>
                                            <w:bottom w:w="135" w:type="dxa"/>
                                            <w:right w:w="270" w:type="dxa"/>
                                          </w:tcMar>
                                          <w:vAlign w:val="center"/>
                                          <w:hideMark/>
                                        </w:tcPr>
                                        <w:tbl>
                                          <w:tblPr>
                                            <w:tblW w:w="5000" w:type="pct"/>
                                            <w:shd w:val="clear" w:color="auto" w:fill="008DD2"/>
                                            <w:tblLook w:val="04A0" w:firstRow="1" w:lastRow="0" w:firstColumn="1" w:lastColumn="0" w:noHBand="0" w:noVBand="1"/>
                                          </w:tblPr>
                                          <w:tblGrid>
                                            <w:gridCol w:w="8454"/>
                                          </w:tblGrid>
                                          <w:tr w:rsidR="00A15F45">
                                            <w:tc>
                                              <w:tcPr>
                                                <w:tcW w:w="0" w:type="auto"/>
                                                <w:shd w:val="clear" w:color="auto" w:fill="008DD2"/>
                                                <w:tcMar>
                                                  <w:top w:w="270" w:type="dxa"/>
                                                  <w:left w:w="270" w:type="dxa"/>
                                                  <w:bottom w:w="270" w:type="dxa"/>
                                                  <w:right w:w="270" w:type="dxa"/>
                                                </w:tcMar>
                                                <w:hideMark/>
                                              </w:tcPr>
                                              <w:p w:rsidR="00A15F45" w:rsidRDefault="00A15F45">
                                                <w:pPr>
                                                  <w:pStyle w:val="Titolo2"/>
                                                  <w:jc w:val="center"/>
                                                  <w:rPr>
                                                    <w:rFonts w:eastAsia="Times New Roman"/>
                                                  </w:rPr>
                                                </w:pPr>
                                                <w:r>
                                                  <w:rPr>
                                                    <w:rFonts w:eastAsia="Times New Roman"/>
                                                    <w:color w:val="FFFFFF"/>
                                                  </w:rPr>
                                                  <w:t>2.  Novità - Tracciabilità finanziaria dei pagamenti (1° Luglio 2018)</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jc w:val="cente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15F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15F45">
                                      <w:tc>
                                        <w:tcPr>
                                          <w:tcW w:w="0" w:type="auto"/>
                                          <w:tcMar>
                                            <w:top w:w="0" w:type="dxa"/>
                                            <w:left w:w="270" w:type="dxa"/>
                                            <w:bottom w:w="135" w:type="dxa"/>
                                            <w:right w:w="270" w:type="dxa"/>
                                          </w:tcMar>
                                          <w:hideMark/>
                                        </w:tcPr>
                                        <w:p w:rsidR="00A15F45" w:rsidRDefault="00A15F45">
                                          <w:pPr>
                                            <w:spacing w:line="300" w:lineRule="auto"/>
                                            <w:jc w:val="both"/>
                                            <w:rPr>
                                              <w:rFonts w:ascii="Helvetica" w:eastAsia="Times New Roman" w:hAnsi="Helvetica" w:cs="Helvetica"/>
                                              <w:color w:val="000000"/>
                                              <w:sz w:val="21"/>
                                              <w:szCs w:val="21"/>
                                            </w:rPr>
                                          </w:pPr>
                                          <w:r>
                                            <w:rPr>
                                              <w:rFonts w:ascii="Helvetica" w:eastAsia="Times New Roman" w:hAnsi="Helvetica" w:cs="Helvetica"/>
                                              <w:color w:val="000000"/>
                                              <w:sz w:val="21"/>
                                              <w:szCs w:val="21"/>
                                            </w:rPr>
                                            <w:lastRenderedPageBreak/>
                                            <w:t xml:space="preserve">Il comma 910 stabilisce che, a partire dal 1° luglio 2018, i datori di lavoro/sostituti d’imposta o committenti sono obbligati a corrispondere ai lavoratori la retribuzione degli emolumenti tramite banche o uffici postali con i seguenti mezzi di pagamento: </w:t>
                                          </w:r>
                                        </w:p>
                                        <w:p w:rsidR="00A15F45" w:rsidRDefault="00A15F45">
                                          <w:pPr>
                                            <w:numPr>
                                              <w:ilvl w:val="0"/>
                                              <w:numId w:val="3"/>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bonifico</w:t>
                                          </w:r>
                                          <w:proofErr w:type="gramEnd"/>
                                          <w:r>
                                            <w:rPr>
                                              <w:rFonts w:ascii="Helvetica" w:eastAsia="Times New Roman" w:hAnsi="Helvetica" w:cs="Helvetica"/>
                                              <w:color w:val="000000"/>
                                              <w:sz w:val="21"/>
                                              <w:szCs w:val="21"/>
                                            </w:rPr>
                                            <w:t xml:space="preserve"> sul conto identificato dal codice IBAN indicato dal lavoratore;</w:t>
                                          </w:r>
                                        </w:p>
                                        <w:p w:rsidR="00A15F45" w:rsidRDefault="00A15F45">
                                          <w:pPr>
                                            <w:numPr>
                                              <w:ilvl w:val="0"/>
                                              <w:numId w:val="3"/>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strumenti</w:t>
                                          </w:r>
                                          <w:proofErr w:type="gramEnd"/>
                                          <w:r>
                                            <w:rPr>
                                              <w:rFonts w:ascii="Helvetica" w:eastAsia="Times New Roman" w:hAnsi="Helvetica" w:cs="Helvetica"/>
                                              <w:color w:val="000000"/>
                                              <w:sz w:val="21"/>
                                              <w:szCs w:val="21"/>
                                            </w:rPr>
                                            <w:t xml:space="preserve"> di pagamento elettronico;</w:t>
                                          </w:r>
                                        </w:p>
                                        <w:p w:rsidR="00A15F45" w:rsidRDefault="00A15F45">
                                          <w:pPr>
                                            <w:numPr>
                                              <w:ilvl w:val="0"/>
                                              <w:numId w:val="3"/>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pagamento</w:t>
                                          </w:r>
                                          <w:proofErr w:type="gramEnd"/>
                                          <w:r>
                                            <w:rPr>
                                              <w:rFonts w:ascii="Helvetica" w:eastAsia="Times New Roman" w:hAnsi="Helvetica" w:cs="Helvetica"/>
                                              <w:color w:val="000000"/>
                                              <w:sz w:val="21"/>
                                              <w:szCs w:val="21"/>
                                            </w:rPr>
                                            <w:t xml:space="preserve"> in contanti presso lo sportello bancario o postale dove il datore di lavoro abbia aperto un conto corrente di tesoreria con mandato di pagamento;</w:t>
                                          </w:r>
                                        </w:p>
                                        <w:p w:rsidR="00A15F45" w:rsidRDefault="00A15F45">
                                          <w:pPr>
                                            <w:numPr>
                                              <w:ilvl w:val="0"/>
                                              <w:numId w:val="3"/>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emissione</w:t>
                                          </w:r>
                                          <w:proofErr w:type="gramEnd"/>
                                          <w:r>
                                            <w:rPr>
                                              <w:rFonts w:ascii="Helvetica" w:eastAsia="Times New Roman" w:hAnsi="Helvetica" w:cs="Helvetica"/>
                                              <w:color w:val="000000"/>
                                              <w:sz w:val="21"/>
                                              <w:szCs w:val="21"/>
                                            </w:rPr>
                                            <w:t xml:space="preserve"> di un assegno consegnato direttamente al lavoratore o, in caso di suo comprovato impedimento, a un suo delegato. L’impedimento s’intende comprovato quando il delegato a ricevere il pagamento è il coniuge, il convivente o un familiare, in linea retta o collaterale, del lavoratore, purché di età non inferiore a sedici anni.</w:t>
                                          </w:r>
                                        </w:p>
                                        <w:p w:rsidR="00A15F45" w:rsidRDefault="00A15F45">
                                          <w:pPr>
                                            <w:spacing w:line="300" w:lineRule="auto"/>
                                            <w:jc w:val="both"/>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Il comma 912, </w:t>
                                          </w:r>
                                          <w:proofErr w:type="gramStart"/>
                                          <w:r>
                                            <w:rPr>
                                              <w:rFonts w:ascii="Helvetica" w:eastAsia="Times New Roman" w:hAnsi="Helvetica" w:cs="Helvetica"/>
                                              <w:color w:val="000000"/>
                                              <w:sz w:val="21"/>
                                              <w:szCs w:val="21"/>
                                            </w:rPr>
                                            <w:t>prevede  che</w:t>
                                          </w:r>
                                          <w:proofErr w:type="gramEnd"/>
                                          <w:r>
                                            <w:rPr>
                                              <w:rFonts w:ascii="Helvetica" w:eastAsia="Times New Roman" w:hAnsi="Helvetica" w:cs="Helvetica"/>
                                              <w:color w:val="000000"/>
                                              <w:sz w:val="21"/>
                                              <w:szCs w:val="21"/>
                                            </w:rPr>
                                            <w:t xml:space="preserve"> la firma della busta paga non costituirà più prova dell’avvenuto pagamento della retribuzione.</w:t>
                                          </w:r>
                                          <w:r>
                                            <w:rPr>
                                              <w:rFonts w:ascii="Helvetica" w:eastAsia="Times New Roman" w:hAnsi="Helvetica" w:cs="Helvetica"/>
                                              <w:color w:val="000000"/>
                                              <w:sz w:val="21"/>
                                              <w:szCs w:val="21"/>
                                            </w:rPr>
                                            <w:br/>
                                          </w:r>
                                          <w:r>
                                            <w:rPr>
                                              <w:rFonts w:ascii="Helvetica" w:eastAsia="Times New Roman" w:hAnsi="Helvetica" w:cs="Helvetica"/>
                                              <w:color w:val="000000"/>
                                              <w:sz w:val="21"/>
                                              <w:szCs w:val="21"/>
                                            </w:rPr>
                                            <w:br/>
                                            <w:t>Pesanti saranno le sanzioni per i datori di lavoro che non rispetteranno la nuova legge. Nel caso di pagamento dello stipendio/compenso in contanti e non tramite mezzi di pagamento tracciabili, il datore di lavoro/sostituto d’imposta o committente sarà sottoposto a sanzione amministrativa pecuniaria che oscillerà tra i 1.000 e i 5.000 euro.</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A15F45">
                                <w:tc>
                                  <w:tcPr>
                                    <w:tcW w:w="0" w:type="auto"/>
                                    <w:tcBorders>
                                      <w:top w:val="single" w:sz="6" w:space="0" w:color="999999"/>
                                      <w:left w:val="nil"/>
                                      <w:bottom w:val="nil"/>
                                      <w:right w:val="nil"/>
                                    </w:tcBorders>
                                    <w:vAlign w:val="center"/>
                                    <w:hideMark/>
                                  </w:tcPr>
                                  <w:p w:rsidR="00A15F45" w:rsidRDefault="00A15F45">
                                    <w:pPr>
                                      <w:rPr>
                                        <w:rFonts w:eastAsia="Times New Roman"/>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15F45">
                                <w:tc>
                                  <w:tcPr>
                                    <w:tcW w:w="0" w:type="auto"/>
                                    <w:tcMar>
                                      <w:top w:w="0" w:type="dxa"/>
                                      <w:left w:w="135" w:type="dxa"/>
                                      <w:bottom w:w="0" w:type="dxa"/>
                                      <w:right w:w="135" w:type="dxa"/>
                                    </w:tcMar>
                                    <w:hideMark/>
                                  </w:tcPr>
                                  <w:p w:rsidR="00A15F45" w:rsidRDefault="00A15F45">
                                    <w:pPr>
                                      <w:jc w:val="center"/>
                                      <w:rPr>
                                        <w:rFonts w:eastAsia="Times New Roman"/>
                                      </w:rPr>
                                    </w:pPr>
                                    <w:r>
                                      <w:rPr>
                                        <w:rFonts w:eastAsia="Times New Roman"/>
                                        <w:noProof/>
                                        <w:color w:val="0000FF"/>
                                      </w:rPr>
                                      <w:drawing>
                                        <wp:inline distT="0" distB="0" distL="0" distR="0">
                                          <wp:extent cx="5372100" cy="1905000"/>
                                          <wp:effectExtent l="0" t="0" r="0" b="0"/>
                                          <wp:docPr id="7" name="Immagine 7" descr="https://gallery.mailchimp.com/1041189d31d4a61eb1a63e3f6/images/8c6561a9-a5d0-4aab-b4c7-c190476c6b2a.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1041189d31d4a61eb1a63e3f6/images/8c6561a9-a5d0-4aab-b4c7-c190476c6b2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905000"/>
                                                  </a:xfrm>
                                                  <a:prstGeom prst="rect">
                                                    <a:avLst/>
                                                  </a:prstGeom>
                                                  <a:noFill/>
                                                  <a:ln>
                                                    <a:noFill/>
                                                  </a:ln>
                                                </pic:spPr>
                                              </pic:pic>
                                            </a:graphicData>
                                          </a:graphic>
                                        </wp:inline>
                                      </w:drawing>
                                    </w: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A15F45">
                                <w:tc>
                                  <w:tcPr>
                                    <w:tcW w:w="0" w:type="auto"/>
                                    <w:tcBorders>
                                      <w:top w:val="single" w:sz="6" w:space="0" w:color="999999"/>
                                      <w:left w:val="nil"/>
                                      <w:bottom w:val="nil"/>
                                      <w:right w:val="nil"/>
                                    </w:tcBorders>
                                    <w:vAlign w:val="center"/>
                                    <w:hideMark/>
                                  </w:tcPr>
                                  <w:p w:rsidR="00A15F45" w:rsidRDefault="00A15F45">
                                    <w:pPr>
                                      <w:rPr>
                                        <w:rFonts w:eastAsia="Times New Roman"/>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A15F45">
                                <w:trPr>
                                  <w:jc w:val="center"/>
                                </w:trPr>
                                <w:tc>
                                  <w:tcPr>
                                    <w:tcW w:w="0" w:type="auto"/>
                                    <w:hideMark/>
                                  </w:tcPr>
                                  <w:p w:rsidR="00A15F45" w:rsidRDefault="00A15F45">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A15F45">
                                      <w:tc>
                                        <w:tcPr>
                                          <w:tcW w:w="0" w:type="auto"/>
                                          <w:tcMar>
                                            <w:top w:w="135" w:type="dxa"/>
                                            <w:left w:w="270" w:type="dxa"/>
                                            <w:bottom w:w="135" w:type="dxa"/>
                                            <w:right w:w="270" w:type="dxa"/>
                                          </w:tcMar>
                                          <w:vAlign w:val="center"/>
                                          <w:hideMark/>
                                        </w:tcPr>
                                        <w:tbl>
                                          <w:tblPr>
                                            <w:tblW w:w="5000" w:type="pct"/>
                                            <w:shd w:val="clear" w:color="auto" w:fill="008DD2"/>
                                            <w:tblLook w:val="04A0" w:firstRow="1" w:lastRow="0" w:firstColumn="1" w:lastColumn="0" w:noHBand="0" w:noVBand="1"/>
                                          </w:tblPr>
                                          <w:tblGrid>
                                            <w:gridCol w:w="8454"/>
                                          </w:tblGrid>
                                          <w:tr w:rsidR="00A15F45">
                                            <w:tc>
                                              <w:tcPr>
                                                <w:tcW w:w="0" w:type="auto"/>
                                                <w:shd w:val="clear" w:color="auto" w:fill="008DD2"/>
                                                <w:tcMar>
                                                  <w:top w:w="270" w:type="dxa"/>
                                                  <w:left w:w="270" w:type="dxa"/>
                                                  <w:bottom w:w="270" w:type="dxa"/>
                                                  <w:right w:w="270" w:type="dxa"/>
                                                </w:tcMar>
                                                <w:hideMark/>
                                              </w:tcPr>
                                              <w:p w:rsidR="00A15F45" w:rsidRDefault="00A15F45">
                                                <w:pPr>
                                                  <w:pStyle w:val="Titolo2"/>
                                                  <w:jc w:val="center"/>
                                                  <w:rPr>
                                                    <w:rFonts w:eastAsia="Times New Roman"/>
                                                  </w:rPr>
                                                </w:pPr>
                                                <w:r>
                                                  <w:rPr>
                                                    <w:rStyle w:val="Enfasigrassetto"/>
                                                    <w:rFonts w:eastAsia="Times New Roman"/>
                                                    <w:b/>
                                                    <w:bCs/>
                                                    <w:color w:val="FFFFFF"/>
                                                  </w:rPr>
                                                  <w:t>3.    Legge 124/2017: “Legge annuale per il mercato e la concorrenza”</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jc w:val="cente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15F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15F45">
                                      <w:tc>
                                        <w:tcPr>
                                          <w:tcW w:w="0" w:type="auto"/>
                                          <w:tcMar>
                                            <w:top w:w="0" w:type="dxa"/>
                                            <w:left w:w="270" w:type="dxa"/>
                                            <w:bottom w:w="135" w:type="dxa"/>
                                            <w:right w:w="270" w:type="dxa"/>
                                          </w:tcMar>
                                          <w:hideMark/>
                                        </w:tcPr>
                                        <w:p w:rsidR="00A15F45" w:rsidRDefault="00A15F45">
                                          <w:pPr>
                                            <w:spacing w:before="240" w:after="240" w:line="300" w:lineRule="auto"/>
                                            <w:jc w:val="both"/>
                                            <w:rPr>
                                              <w:rFonts w:ascii="Helvetica" w:hAnsi="Helvetica" w:cs="Helvetica"/>
                                              <w:color w:val="000000"/>
                                              <w:sz w:val="21"/>
                                              <w:szCs w:val="21"/>
                                            </w:rPr>
                                          </w:pPr>
                                          <w:r>
                                            <w:rPr>
                                              <w:rFonts w:ascii="Helvetica" w:hAnsi="Helvetica" w:cs="Helvetica"/>
                                              <w:color w:val="000000"/>
                                              <w:sz w:val="21"/>
                                              <w:szCs w:val="21"/>
                                            </w:rPr>
                                            <w:t>La legge annuale per il mercato e la concorrenza (L. n. 124/2017) introduce un  nuovo obbligo per gli Enti No Profit che instaurano rapporti economici con le pubbliche amministrazioni.</w:t>
                                          </w:r>
                                          <w:r>
                                            <w:rPr>
                                              <w:rFonts w:ascii="Helvetica" w:hAnsi="Helvetica" w:cs="Helvetica"/>
                                              <w:color w:val="000000"/>
                                              <w:sz w:val="21"/>
                                              <w:szCs w:val="21"/>
                                            </w:rPr>
                                            <w:br/>
                                          </w:r>
                                          <w:r>
                                            <w:rPr>
                                              <w:rFonts w:ascii="Helvetica" w:hAnsi="Helvetica" w:cs="Helvetica"/>
                                              <w:color w:val="000000"/>
                                              <w:sz w:val="21"/>
                                              <w:szCs w:val="21"/>
                                            </w:rPr>
                                            <w:br/>
                                            <w:t>Al comma 125 della L. 124/2017 si evidenzia:</w:t>
                                          </w:r>
                                          <w:r>
                                            <w:rPr>
                                              <w:rFonts w:ascii="Helvetica" w:hAnsi="Helvetica" w:cs="Helvetica"/>
                                              <w:color w:val="000000"/>
                                              <w:sz w:val="21"/>
                                              <w:szCs w:val="21"/>
                                            </w:rPr>
                                            <w:br/>
                                          </w:r>
                                          <w:r>
                                            <w:rPr>
                                              <w:rFonts w:ascii="Helvetica" w:hAnsi="Helvetica" w:cs="Helvetica"/>
                                              <w:color w:val="000000"/>
                                              <w:sz w:val="21"/>
                                              <w:szCs w:val="21"/>
                                            </w:rPr>
                                            <w:br/>
                                            <w:t>“</w:t>
                                          </w:r>
                                          <w:r>
                                            <w:rPr>
                                              <w:rStyle w:val="Enfasicorsivo"/>
                                              <w:rFonts w:ascii="Helvetica" w:hAnsi="Helvetica" w:cs="Helvetica"/>
                                              <w:color w:val="000000"/>
                                              <w:sz w:val="21"/>
                                              <w:szCs w:val="21"/>
                                            </w:rPr>
                                            <w:t xml:space="preserve">A decorrere dall'anno 2018, i soggetti di cui all'articolo 13 della legge 8 luglio 1986, n. 349, e successive modificazioni, i soggetti di cui all'articolo 137 del codice di cui al decreto legislativo 6 settembre 2005, n. 206, nonché le associazioni, le </w:t>
                                          </w:r>
                                          <w:proofErr w:type="spellStart"/>
                                          <w:r>
                                            <w:rPr>
                                              <w:rStyle w:val="Enfasicorsivo"/>
                                              <w:rFonts w:ascii="Helvetica" w:hAnsi="Helvetica" w:cs="Helvetica"/>
                                              <w:color w:val="000000"/>
                                              <w:sz w:val="21"/>
                                              <w:szCs w:val="21"/>
                                            </w:rPr>
                                            <w:t>Onlus</w:t>
                                          </w:r>
                                          <w:proofErr w:type="spellEnd"/>
                                          <w:r>
                                            <w:rPr>
                                              <w:rStyle w:val="Enfasicorsivo"/>
                                              <w:rFonts w:ascii="Helvetica" w:hAnsi="Helvetica" w:cs="Helvetica"/>
                                              <w:color w:val="000000"/>
                                              <w:sz w:val="21"/>
                                              <w:szCs w:val="21"/>
                                            </w:rPr>
                                            <w:t xml:space="preserve"> e le fondazioni che intrattengono rapporti economici con le pubbliche amministrazioni e con i soggetti di cui all'articolo 2-bis del decreto legislativo 14 marzo 2013, n. 33, nonché con società controllate di diritto o di fatto direttamente o indirettamente da pubbliche amministrazioni, ivi comprese quelle che emettono azioni quotate in mercati regolamentati e le società da loro partecipate, e con società in partecipazione pubblica, ivi comprese quelle che emettono azioni quotate in mercati regolamentati e le società da loro partecipate, pubblicano entro il 28 febbraio di ogni anno, nei propri siti o portali digitali, le informazioni relative a sovvenzioni, contributi, incarichi retribuiti e comunque a vantaggi economici di qualunque genere ricevuti dalle medesime pubbliche amministrazioni e dai medesimi soggetti nell'anno precedente. Le imprese che ricevono sovvenzioni, contributi, incarichi retribuiti e comunque vantaggi economici di qualunque genere dalle pubbliche amministrazioni e dai soggetti di cui al primo periodo sono tenute a pubblicare tali importi nella nota integrativa del bilancio di esercizio e nella nota integrativa dell'eventuale bilancio consolidato. L'inosservanza di tale obbligo comporta la restituzione delle somme ai soggetti eroganti entro tre mesi dalla data di cui al periodo precedente. Qualora i soggetti eroganti appartengano alle amministrazioni centrali dello Stato ed abbiano adempiuto agli obblighi di pubblicazione previsti dall'articolo 26 del decreto legislativo 14 marzo 2013, n. 33, le somme di cui al terzo periodo sono versate ad apposito capitolo dell'entrata del bilancio dello Stato per essere riassegnate ai pertinenti capitoli degli stati di previsione delle amministrazioni originariamente competenti per materia. Nel caso in cui i soggetti eroganti non abbiano adempiuto ai prescritti obblighi di pubblicazione di cui all'articolo 26 del decreto legislativo 14 marzo 2013, n. 33, le somme di cui al terzo periodo sono versate all'entrata del bilancio dello Stato per essere riassegnate al fondo per la lotta alla povertà  e all'esclusione sociale, di cui all'articolo 1, comma 386, della legge 28 dicembre 2015, n. 208</w:t>
                                          </w:r>
                                          <w:r>
                                            <w:rPr>
                                              <w:rFonts w:ascii="Helvetica" w:hAnsi="Helvetica" w:cs="Helvetica"/>
                                              <w:color w:val="000000"/>
                                              <w:sz w:val="21"/>
                                              <w:szCs w:val="21"/>
                                            </w:rPr>
                                            <w:t>.”</w:t>
                                          </w:r>
                                          <w:r>
                                            <w:rPr>
                                              <w:rFonts w:ascii="Helvetica" w:hAnsi="Helvetica" w:cs="Helvetica"/>
                                              <w:color w:val="000000"/>
                                              <w:sz w:val="21"/>
                                              <w:szCs w:val="21"/>
                                            </w:rPr>
                                            <w:br/>
                                          </w:r>
                                          <w:r>
                                            <w:rPr>
                                              <w:rFonts w:ascii="Helvetica" w:hAnsi="Helvetica" w:cs="Helvetica"/>
                                              <w:color w:val="000000"/>
                                              <w:sz w:val="21"/>
                                              <w:szCs w:val="21"/>
                                            </w:rPr>
                                            <w:br/>
                                            <w:t>Il comma 127 recita quanto segue:</w:t>
                                          </w:r>
                                          <w:r>
                                            <w:rPr>
                                              <w:rFonts w:ascii="Helvetica" w:hAnsi="Helvetica" w:cs="Helvetica"/>
                                              <w:color w:val="000000"/>
                                              <w:sz w:val="21"/>
                                              <w:szCs w:val="21"/>
                                            </w:rPr>
                                            <w:br/>
                                          </w:r>
                                          <w:r>
                                            <w:rPr>
                                              <w:rFonts w:ascii="Helvetica" w:hAnsi="Helvetica" w:cs="Helvetica"/>
                                              <w:color w:val="000000"/>
                                              <w:sz w:val="21"/>
                                              <w:szCs w:val="21"/>
                                            </w:rPr>
                                            <w:lastRenderedPageBreak/>
                                            <w:br/>
                                            <w:t>“</w:t>
                                          </w:r>
                                          <w:r>
                                            <w:rPr>
                                              <w:rStyle w:val="Enfasicorsivo"/>
                                              <w:rFonts w:ascii="Helvetica" w:hAnsi="Helvetica" w:cs="Helvetica"/>
                                              <w:color w:val="000000"/>
                                              <w:sz w:val="21"/>
                                              <w:szCs w:val="21"/>
                                            </w:rPr>
                                            <w:t>Al fine di evitare l'accumulo di informazioni non rilevanti, l'obbligo di pubblicazione di cui ai commi 125 e 126 non sussiste ove l'importo delle sovvenzioni, dei contributi, degli incarichi retribuiti e comunque dei vantaggi economici di qualunque genere ricevuti dal soggetto beneficiario sia inferiore a 10.000 euro nel periodo considerato.</w:t>
                                          </w:r>
                                          <w:r>
                                            <w:rPr>
                                              <w:rFonts w:ascii="Helvetica" w:hAnsi="Helvetica" w:cs="Helvetica"/>
                                              <w:color w:val="000000"/>
                                              <w:sz w:val="21"/>
                                              <w:szCs w:val="21"/>
                                            </w:rPr>
                                            <w:t>”</w:t>
                                          </w:r>
                                          <w:r>
                                            <w:rPr>
                                              <w:rFonts w:ascii="Helvetica" w:hAnsi="Helvetica" w:cs="Helvetica"/>
                                              <w:color w:val="000000"/>
                                              <w:sz w:val="21"/>
                                              <w:szCs w:val="21"/>
                                            </w:rPr>
                                            <w:br/>
                                          </w:r>
                                          <w:r>
                                            <w:rPr>
                                              <w:rFonts w:ascii="Helvetica" w:hAnsi="Helvetica" w:cs="Helvetica"/>
                                              <w:color w:val="000000"/>
                                              <w:sz w:val="21"/>
                                              <w:szCs w:val="21"/>
                                            </w:rPr>
                                            <w:br/>
                                            <w:t>Concludendo, gli enti no profit che acquisiscono annualmente contributi da enti pubblici (ad esempio Regioni, Province, Comuni e/o Istituti Comprensivi per progetti nelle scuole, ecc. ) o vendono loro prestazioni di servizi con fatture di importo maggiore a € 10.000,00, devono obbligatoriamente avere un sito web o portale digitale nel quale dovrà essere presente un’area dedicata alla pubblicazione dei vantaggi economici, di qualunque genere, ricevuti dalle pubbliche amministrazioni</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A15F45">
                                <w:tc>
                                  <w:tcPr>
                                    <w:tcW w:w="0" w:type="auto"/>
                                    <w:tcBorders>
                                      <w:top w:val="single" w:sz="6" w:space="0" w:color="999999"/>
                                      <w:left w:val="nil"/>
                                      <w:bottom w:val="nil"/>
                                      <w:right w:val="nil"/>
                                    </w:tcBorders>
                                    <w:vAlign w:val="center"/>
                                    <w:hideMark/>
                                  </w:tcPr>
                                  <w:p w:rsidR="00A15F45" w:rsidRDefault="00A15F45">
                                    <w:pPr>
                                      <w:rPr>
                                        <w:rFonts w:eastAsia="Times New Roman"/>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135" w:type="dxa"/>
                                <w:left w:w="270" w:type="dxa"/>
                                <w:bottom w:w="135" w:type="dxa"/>
                                <w:right w:w="270" w:type="dxa"/>
                              </w:tcMar>
                              <w:hideMark/>
                            </w:tcPr>
                            <w:tbl>
                              <w:tblPr>
                                <w:tblpPr w:leftFromText="45" w:rightFromText="45" w:vertAnchor="text"/>
                                <w:tblW w:w="5000" w:type="pct"/>
                                <w:shd w:val="clear" w:color="auto" w:fill="007FC9"/>
                                <w:tblCellMar>
                                  <w:left w:w="0" w:type="dxa"/>
                                  <w:right w:w="0" w:type="dxa"/>
                                </w:tblCellMar>
                                <w:tblLook w:val="04A0" w:firstRow="1" w:lastRow="0" w:firstColumn="1" w:lastColumn="0" w:noHBand="0" w:noVBand="1"/>
                              </w:tblPr>
                              <w:tblGrid>
                                <w:gridCol w:w="8460"/>
                              </w:tblGrid>
                              <w:tr w:rsidR="00A15F45">
                                <w:tc>
                                  <w:tcPr>
                                    <w:tcW w:w="0" w:type="auto"/>
                                    <w:shd w:val="clear" w:color="auto" w:fill="007FC9"/>
                                    <w:hideMark/>
                                  </w:tcPr>
                                  <w:p w:rsidR="00A15F45" w:rsidRDefault="00A15F45">
                                    <w:pPr>
                                      <w:rPr>
                                        <w:rFonts w:eastAsia="Times New Roman"/>
                                      </w:rPr>
                                    </w:pPr>
                                    <w:r>
                                      <w:rPr>
                                        <w:rFonts w:eastAsia="Times New Roman"/>
                                        <w:noProof/>
                                        <w:color w:val="0000FF"/>
                                      </w:rPr>
                                      <w:drawing>
                                        <wp:inline distT="0" distB="0" distL="0" distR="0">
                                          <wp:extent cx="5372100" cy="2409825"/>
                                          <wp:effectExtent l="0" t="0" r="0" b="9525"/>
                                          <wp:docPr id="6" name="Immagine 6" descr="https://gallery.mailchimp.com/1041189d31d4a61eb1a63e3f6/images/cc76f50c-aaab-4d67-acd7-b0e644dc3ec1.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1041189d31d4a61eb1a63e3f6/images/cc76f50c-aaab-4d67-acd7-b0e644dc3ec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409825"/>
                                                  </a:xfrm>
                                                  <a:prstGeom prst="rect">
                                                    <a:avLst/>
                                                  </a:prstGeom>
                                                  <a:noFill/>
                                                  <a:ln>
                                                    <a:noFill/>
                                                  </a:ln>
                                                </pic:spPr>
                                              </pic:pic>
                                            </a:graphicData>
                                          </a:graphic>
                                        </wp:inline>
                                      </w:drawing>
                                    </w:r>
                                  </w:p>
                                </w:tc>
                              </w:tr>
                              <w:tr w:rsidR="00A15F45">
                                <w:tc>
                                  <w:tcPr>
                                    <w:tcW w:w="8190" w:type="dxa"/>
                                    <w:shd w:val="clear" w:color="auto" w:fill="007FC9"/>
                                    <w:tcMar>
                                      <w:top w:w="135" w:type="dxa"/>
                                      <w:left w:w="270" w:type="dxa"/>
                                      <w:bottom w:w="135" w:type="dxa"/>
                                      <w:right w:w="270" w:type="dxa"/>
                                    </w:tcMar>
                                    <w:hideMark/>
                                  </w:tcPr>
                                  <w:p w:rsidR="00A15F45" w:rsidRDefault="00A15F45">
                                    <w:pPr>
                                      <w:spacing w:line="300" w:lineRule="auto"/>
                                      <w:jc w:val="center"/>
                                      <w:rPr>
                                        <w:rFonts w:ascii="Helvetica" w:eastAsia="Times New Roman" w:hAnsi="Helvetica" w:cs="Helvetica"/>
                                        <w:color w:val="F2F2F2"/>
                                        <w:sz w:val="21"/>
                                        <w:szCs w:val="21"/>
                                      </w:rPr>
                                    </w:pPr>
                                    <w:r>
                                      <w:rPr>
                                        <w:rFonts w:ascii="Helvetica" w:eastAsia="Times New Roman" w:hAnsi="Helvetica" w:cs="Helvetica"/>
                                        <w:color w:val="FFFFFF"/>
                                        <w:sz w:val="21"/>
                                        <w:szCs w:val="21"/>
                                      </w:rPr>
                                      <w:t>Programma per la gestione contabile e amministrativa della tua Associazione fruibile dal web.  </w:t>
                                    </w:r>
                                    <w:hyperlink r:id="rId11" w:tgtFrame="_blank" w:history="1">
                                      <w:r>
                                        <w:rPr>
                                          <w:rStyle w:val="Collegamentoipertestuale"/>
                                          <w:rFonts w:eastAsia="Times New Roman"/>
                                          <w:color w:val="FFFFFF"/>
                                          <w:sz w:val="21"/>
                                          <w:szCs w:val="21"/>
                                        </w:rPr>
                                        <w:t>Leggi tutto</w:t>
                                      </w:r>
                                    </w:hyperlink>
                                    <w:r>
                                      <w:rPr>
                                        <w:rFonts w:ascii="Helvetica" w:eastAsia="Times New Roman" w:hAnsi="Helvetica" w:cs="Helvetica"/>
                                        <w:color w:val="F2F2F2"/>
                                        <w:sz w:val="21"/>
                                        <w:szCs w:val="21"/>
                                      </w:rPr>
                                      <w:t xml:space="preserve"> </w:t>
                                    </w: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A15F45">
                                <w:tc>
                                  <w:tcPr>
                                    <w:tcW w:w="0" w:type="auto"/>
                                    <w:tcBorders>
                                      <w:top w:val="single" w:sz="6" w:space="0" w:color="999999"/>
                                      <w:left w:val="nil"/>
                                      <w:bottom w:val="nil"/>
                                      <w:right w:val="nil"/>
                                    </w:tcBorders>
                                    <w:vAlign w:val="center"/>
                                    <w:hideMark/>
                                  </w:tcPr>
                                  <w:p w:rsidR="00A15F45" w:rsidRDefault="00A15F45">
                                    <w:pPr>
                                      <w:rPr>
                                        <w:rFonts w:eastAsia="Times New Roman"/>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
                                <w:gridCol w:w="8992"/>
                              </w:tblGrid>
                              <w:tr w:rsidR="00A15F45">
                                <w:trPr>
                                  <w:jc w:val="center"/>
                                </w:trPr>
                                <w:tc>
                                  <w:tcPr>
                                    <w:tcW w:w="0" w:type="auto"/>
                                    <w:hideMark/>
                                  </w:tcPr>
                                  <w:p w:rsidR="00A15F45" w:rsidRDefault="00A15F45">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2"/>
                                    </w:tblGrid>
                                    <w:tr w:rsidR="00A15F45">
                                      <w:tc>
                                        <w:tcPr>
                                          <w:tcW w:w="0" w:type="auto"/>
                                          <w:tcMar>
                                            <w:top w:w="135" w:type="dxa"/>
                                            <w:left w:w="270" w:type="dxa"/>
                                            <w:bottom w:w="135" w:type="dxa"/>
                                            <w:right w:w="270" w:type="dxa"/>
                                          </w:tcMar>
                                          <w:vAlign w:val="center"/>
                                          <w:hideMark/>
                                        </w:tcPr>
                                        <w:tbl>
                                          <w:tblPr>
                                            <w:tblW w:w="5000" w:type="pct"/>
                                            <w:shd w:val="clear" w:color="auto" w:fill="008DD2"/>
                                            <w:tblLook w:val="04A0" w:firstRow="1" w:lastRow="0" w:firstColumn="1" w:lastColumn="0" w:noHBand="0" w:noVBand="1"/>
                                          </w:tblPr>
                                          <w:tblGrid>
                                            <w:gridCol w:w="8452"/>
                                          </w:tblGrid>
                                          <w:tr w:rsidR="00A15F45">
                                            <w:tc>
                                              <w:tcPr>
                                                <w:tcW w:w="0" w:type="auto"/>
                                                <w:shd w:val="clear" w:color="auto" w:fill="008DD2"/>
                                                <w:tcMar>
                                                  <w:top w:w="270" w:type="dxa"/>
                                                  <w:left w:w="270" w:type="dxa"/>
                                                  <w:bottom w:w="270" w:type="dxa"/>
                                                  <w:right w:w="270" w:type="dxa"/>
                                                </w:tcMar>
                                                <w:hideMark/>
                                              </w:tcPr>
                                              <w:p w:rsidR="00A15F45" w:rsidRDefault="00A15F45">
                                                <w:pPr>
                                                  <w:pStyle w:val="Titolo2"/>
                                                  <w:jc w:val="center"/>
                                                  <w:rPr>
                                                    <w:rFonts w:eastAsia="Times New Roman"/>
                                                  </w:rPr>
                                                </w:pPr>
                                                <w:r>
                                                  <w:rPr>
                                                    <w:rFonts w:eastAsia="Times New Roman"/>
                                                    <w:color w:val="FFFFFF"/>
                                                  </w:rPr>
                                                  <w:t>4. </w:t>
                                                </w:r>
                                                <w:r>
                                                  <w:rPr>
                                                    <w:rFonts w:eastAsia="Times New Roman"/>
                                                  </w:rPr>
                                                  <w:t xml:space="preserve">  </w:t>
                                                </w:r>
                                                <w:r>
                                                  <w:rPr>
                                                    <w:rFonts w:eastAsia="Times New Roman"/>
                                                    <w:color w:val="FFFFFF"/>
                                                  </w:rPr>
                                                  <w:t>Adempimenti mese di Febbraio</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jc w:val="cente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15F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15F45">
                                      <w:tc>
                                        <w:tcPr>
                                          <w:tcW w:w="0" w:type="auto"/>
                                          <w:tcMar>
                                            <w:top w:w="0" w:type="dxa"/>
                                            <w:left w:w="270" w:type="dxa"/>
                                            <w:bottom w:w="135" w:type="dxa"/>
                                            <w:right w:w="270" w:type="dxa"/>
                                          </w:tcMar>
                                          <w:hideMark/>
                                        </w:tcPr>
                                        <w:p w:rsidR="00A15F45" w:rsidRDefault="00A15F45">
                                          <w:pPr>
                                            <w:spacing w:line="300" w:lineRule="auto"/>
                                            <w:jc w:val="both"/>
                                            <w:rPr>
                                              <w:rFonts w:ascii="Helvetica" w:eastAsia="Times New Roman" w:hAnsi="Helvetica" w:cs="Helvetica"/>
                                              <w:color w:val="000000"/>
                                              <w:sz w:val="21"/>
                                              <w:szCs w:val="21"/>
                                            </w:rPr>
                                          </w:pPr>
                                          <w:r>
                                            <w:rPr>
                                              <w:rStyle w:val="Enfasigrassetto"/>
                                              <w:rFonts w:ascii="Helvetica" w:eastAsia="Times New Roman" w:hAnsi="Helvetica" w:cs="Helvetica"/>
                                              <w:color w:val="000000"/>
                                              <w:sz w:val="21"/>
                                              <w:szCs w:val="21"/>
                                            </w:rPr>
                                            <w:lastRenderedPageBreak/>
                                            <w:t>15 Febbraio</w:t>
                                          </w:r>
                                          <w:r>
                                            <w:rPr>
                                              <w:rFonts w:ascii="Helvetica" w:eastAsia="Times New Roman" w:hAnsi="Helvetica" w:cs="Helvetica"/>
                                              <w:color w:val="000000"/>
                                              <w:sz w:val="21"/>
                                              <w:szCs w:val="21"/>
                                            </w:rPr>
                                            <w:br/>
                                            <w:t xml:space="preserve">  </w:t>
                                          </w:r>
                                        </w:p>
                                        <w:p w:rsidR="00A15F45" w:rsidRDefault="00A15F45">
                                          <w:pPr>
                                            <w:numPr>
                                              <w:ilvl w:val="0"/>
                                              <w:numId w:val="4"/>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annotazione</w:t>
                                          </w:r>
                                          <w:proofErr w:type="gramEnd"/>
                                          <w:r>
                                            <w:rPr>
                                              <w:rFonts w:ascii="Helvetica" w:eastAsia="Times New Roman" w:hAnsi="Helvetica" w:cs="Helvetica"/>
                                              <w:color w:val="000000"/>
                                              <w:sz w:val="21"/>
                                              <w:szCs w:val="21"/>
                                            </w:rPr>
                                            <w:t xml:space="preserve"> dei corrispettivi e dei proventi del mese precedente, da parte delle Associazioni sportive dilettantistiche, associazioni senza scopo di lucro e associazioni pro loco che hanno effettuato l'opzione per il regime fiscale agevolato di cui all'art. 1 della L. n. 398/1991, nel prospetto approvato con D.M. 11/02/199</w:t>
                                          </w:r>
                                        </w:p>
                                        <w:p w:rsidR="00A15F45" w:rsidRDefault="00A15F45">
                                          <w:pPr>
                                            <w:spacing w:line="300" w:lineRule="auto"/>
                                            <w:jc w:val="both"/>
                                            <w:rPr>
                                              <w:rFonts w:ascii="Helvetica" w:eastAsia="Times New Roman" w:hAnsi="Helvetica" w:cs="Helvetica"/>
                                              <w:color w:val="000000"/>
                                              <w:sz w:val="21"/>
                                              <w:szCs w:val="21"/>
                                            </w:rPr>
                                          </w:pPr>
                                          <w:r>
                                            <w:rPr>
                                              <w:rFonts w:ascii="Helvetica" w:eastAsia="Times New Roman" w:hAnsi="Helvetica" w:cs="Helvetica"/>
                                              <w:color w:val="000000"/>
                                              <w:sz w:val="21"/>
                                              <w:szCs w:val="21"/>
                                            </w:rPr>
                                            <w:t> </w:t>
                                          </w:r>
                                          <w:r>
                                            <w:rPr>
                                              <w:rFonts w:ascii="Helvetica" w:eastAsia="Times New Roman" w:hAnsi="Helvetica" w:cs="Helvetica"/>
                                              <w:color w:val="000000"/>
                                              <w:sz w:val="21"/>
                                              <w:szCs w:val="21"/>
                                            </w:rPr>
                                            <w:br/>
                                          </w:r>
                                          <w:r>
                                            <w:rPr>
                                              <w:rStyle w:val="Enfasigrassetto"/>
                                              <w:rFonts w:ascii="Helvetica" w:eastAsia="Times New Roman" w:hAnsi="Helvetica" w:cs="Helvetica"/>
                                              <w:color w:val="000000"/>
                                              <w:sz w:val="21"/>
                                              <w:szCs w:val="21"/>
                                            </w:rPr>
                                            <w:t>16 Febbraio</w:t>
                                          </w:r>
                                          <w:r>
                                            <w:rPr>
                                              <w:rFonts w:ascii="Helvetica" w:eastAsia="Times New Roman" w:hAnsi="Helvetica" w:cs="Helvetica"/>
                                              <w:color w:val="000000"/>
                                              <w:sz w:val="21"/>
                                              <w:szCs w:val="21"/>
                                            </w:rPr>
                                            <w:br/>
                                            <w:t xml:space="preserve">  </w:t>
                                          </w:r>
                                        </w:p>
                                        <w:p w:rsidR="00A15F45" w:rsidRDefault="00A15F45">
                                          <w:pPr>
                                            <w:numPr>
                                              <w:ilvl w:val="0"/>
                                              <w:numId w:val="5"/>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versamento</w:t>
                                          </w:r>
                                          <w:proofErr w:type="gramEnd"/>
                                          <w:r>
                                            <w:rPr>
                                              <w:rFonts w:ascii="Helvetica" w:eastAsia="Times New Roman" w:hAnsi="Helvetica" w:cs="Helvetica"/>
                                              <w:color w:val="000000"/>
                                              <w:sz w:val="21"/>
                                              <w:szCs w:val="21"/>
                                            </w:rPr>
                                            <w:t xml:space="preserve"> ritenute d’acconto sui compensi erogati nel mese precedente agli sportivi, bande musicali,  ecc. eccedenti € 7500,00;</w:t>
                                          </w:r>
                                        </w:p>
                                        <w:p w:rsidR="00A15F45" w:rsidRDefault="00A15F45">
                                          <w:pPr>
                                            <w:numPr>
                                              <w:ilvl w:val="0"/>
                                              <w:numId w:val="5"/>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versamento</w:t>
                                          </w:r>
                                          <w:proofErr w:type="gramEnd"/>
                                          <w:r>
                                            <w:rPr>
                                              <w:rFonts w:ascii="Helvetica" w:eastAsia="Times New Roman" w:hAnsi="Helvetica" w:cs="Helvetica"/>
                                              <w:color w:val="000000"/>
                                              <w:sz w:val="21"/>
                                              <w:szCs w:val="21"/>
                                            </w:rPr>
                                            <w:t xml:space="preserve"> IVA mensile del mese di Gennaio 2018;</w:t>
                                          </w:r>
                                        </w:p>
                                        <w:p w:rsidR="00A15F45" w:rsidRDefault="00A15F45">
                                          <w:pPr>
                                            <w:numPr>
                                              <w:ilvl w:val="0"/>
                                              <w:numId w:val="6"/>
                                            </w:numPr>
                                            <w:spacing w:before="100" w:beforeAutospacing="1" w:after="100" w:afterAutospacing="1" w:line="300" w:lineRule="auto"/>
                                            <w:jc w:val="both"/>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versamento</w:t>
                                          </w:r>
                                          <w:proofErr w:type="gramEnd"/>
                                          <w:r>
                                            <w:rPr>
                                              <w:rFonts w:ascii="Helvetica" w:eastAsia="Times New Roman" w:hAnsi="Helvetica" w:cs="Helvetica"/>
                                              <w:color w:val="000000"/>
                                              <w:sz w:val="21"/>
                                              <w:szCs w:val="21"/>
                                            </w:rPr>
                                            <w:t xml:space="preserve"> dell’imposta sugli intrattenimenti relativi alle attività svolte con carattere di continuità nel mese precedente;</w:t>
                                          </w:r>
                                        </w:p>
                                        <w:p w:rsidR="00A15F45" w:rsidRPr="00A15F45" w:rsidRDefault="00A15F45" w:rsidP="00A15F45">
                                          <w:pPr>
                                            <w:numPr>
                                              <w:ilvl w:val="0"/>
                                              <w:numId w:val="6"/>
                                            </w:numPr>
                                            <w:spacing w:before="100" w:beforeAutospacing="1" w:after="100" w:afterAutospacing="1" w:line="300" w:lineRule="auto"/>
                                            <w:jc w:val="both"/>
                                            <w:rPr>
                                              <w:rStyle w:val="Enfasigrassetto"/>
                                              <w:rFonts w:ascii="Helvetica" w:eastAsia="Times New Roman" w:hAnsi="Helvetica" w:cs="Helvetica"/>
                                              <w:b w:val="0"/>
                                              <w:bCs w:val="0"/>
                                              <w:color w:val="000000"/>
                                              <w:sz w:val="21"/>
                                              <w:szCs w:val="21"/>
                                            </w:rPr>
                                          </w:pPr>
                                          <w:proofErr w:type="gramStart"/>
                                          <w:r>
                                            <w:rPr>
                                              <w:rFonts w:ascii="Helvetica" w:eastAsia="Times New Roman" w:hAnsi="Helvetica" w:cs="Helvetica"/>
                                              <w:color w:val="000000"/>
                                              <w:sz w:val="21"/>
                                              <w:szCs w:val="21"/>
                                            </w:rPr>
                                            <w:t>versamento</w:t>
                                          </w:r>
                                          <w:proofErr w:type="gramEnd"/>
                                          <w:r>
                                            <w:rPr>
                                              <w:rFonts w:ascii="Helvetica" w:eastAsia="Times New Roman" w:hAnsi="Helvetica" w:cs="Helvetica"/>
                                              <w:color w:val="000000"/>
                                              <w:sz w:val="21"/>
                                              <w:szCs w:val="21"/>
                                            </w:rPr>
                                            <w:t xml:space="preserve"> contributi previdenziali alla gestione separata INPS sui compensi corrisposti nel mese precedente ai collaboratori assimilati a lavoratori dipendenti (co.co.pro.) ed ai collaboratori occasionali che hanno superato la soglia di 5.000 € di reddito netto (6.250 € il lordo) nel corso di un anno solare;</w:t>
                                          </w:r>
                                        </w:p>
                                        <w:p w:rsidR="00A15F45" w:rsidRDefault="00A15F45">
                                          <w:pPr>
                                            <w:spacing w:line="300" w:lineRule="auto"/>
                                            <w:jc w:val="both"/>
                                            <w:rPr>
                                              <w:rStyle w:val="Enfasigrassetto"/>
                                              <w:rFonts w:ascii="Helvetica" w:eastAsia="Times New Roman" w:hAnsi="Helvetica" w:cs="Helvetica"/>
                                              <w:color w:val="000000"/>
                                              <w:sz w:val="21"/>
                                              <w:szCs w:val="21"/>
                                            </w:rPr>
                                          </w:pPr>
                                        </w:p>
                                        <w:p w:rsidR="00A15F45" w:rsidRDefault="00A15F45">
                                          <w:pPr>
                                            <w:spacing w:line="300" w:lineRule="auto"/>
                                            <w:jc w:val="both"/>
                                            <w:rPr>
                                              <w:rStyle w:val="Enfasigrassetto"/>
                                              <w:rFonts w:ascii="Helvetica" w:eastAsia="Times New Roman" w:hAnsi="Helvetica" w:cs="Helvetica"/>
                                              <w:color w:val="000000"/>
                                              <w:sz w:val="21"/>
                                              <w:szCs w:val="21"/>
                                            </w:rPr>
                                          </w:pPr>
                                        </w:p>
                                        <w:p w:rsidR="00A15F45" w:rsidRDefault="00A15F45">
                                          <w:pPr>
                                            <w:spacing w:line="300" w:lineRule="auto"/>
                                            <w:jc w:val="both"/>
                                            <w:rPr>
                                              <w:rFonts w:ascii="Helvetica" w:eastAsia="Times New Roman" w:hAnsi="Helvetica" w:cs="Helvetica"/>
                                              <w:color w:val="000000"/>
                                              <w:sz w:val="21"/>
                                              <w:szCs w:val="21"/>
                                            </w:rPr>
                                          </w:pPr>
                                          <w:r>
                                            <w:rPr>
                                              <w:rStyle w:val="Enfasigrassetto"/>
                                              <w:rFonts w:ascii="Helvetica" w:eastAsia="Times New Roman" w:hAnsi="Helvetica" w:cs="Helvetica"/>
                                              <w:color w:val="000000"/>
                                              <w:sz w:val="21"/>
                                              <w:szCs w:val="21"/>
                                            </w:rPr>
                                            <w:t>28</w:t>
                                          </w:r>
                                          <w:r>
                                            <w:rPr>
                                              <w:rStyle w:val="Enfasigrassetto"/>
                                              <w:rFonts w:ascii="Helvetica" w:eastAsia="Times New Roman" w:hAnsi="Helvetica" w:cs="Helvetica"/>
                                              <w:color w:val="000000"/>
                                              <w:sz w:val="21"/>
                                              <w:szCs w:val="21"/>
                                            </w:rPr>
                                            <w:t>Febbraio</w:t>
                                          </w:r>
                                          <w:r>
                                            <w:rPr>
                                              <w:rFonts w:ascii="Helvetica" w:eastAsia="Times New Roman" w:hAnsi="Helvetica" w:cs="Helvetica"/>
                                              <w:color w:val="000000"/>
                                              <w:sz w:val="21"/>
                                              <w:szCs w:val="21"/>
                                            </w:rPr>
                                            <w:br/>
                                            <w:t xml:space="preserve">  </w:t>
                                          </w:r>
                                        </w:p>
                                        <w:p w:rsidR="00A15F45" w:rsidRDefault="00A15F45">
                                          <w:pPr>
                                            <w:numPr>
                                              <w:ilvl w:val="0"/>
                                              <w:numId w:val="7"/>
                                            </w:numPr>
                                            <w:spacing w:before="100" w:beforeAutospacing="1" w:after="100" w:afterAutospacing="1" w:line="300" w:lineRule="auto"/>
                                            <w:jc w:val="both"/>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Scadenza </w:t>
                                          </w:r>
                                          <w:proofErr w:type="spellStart"/>
                                          <w:r>
                                            <w:rPr>
                                              <w:rFonts w:ascii="Helvetica" w:eastAsia="Times New Roman" w:hAnsi="Helvetica" w:cs="Helvetica"/>
                                              <w:color w:val="000000"/>
                                              <w:sz w:val="21"/>
                                              <w:szCs w:val="21"/>
                                            </w:rPr>
                                            <w:t>Spesometro</w:t>
                                          </w:r>
                                          <w:proofErr w:type="spellEnd"/>
                                          <w:r>
                                            <w:rPr>
                                              <w:rFonts w:ascii="Helvetica" w:eastAsia="Times New Roman" w:hAnsi="Helvetica" w:cs="Helvetica"/>
                                              <w:color w:val="000000"/>
                                              <w:sz w:val="21"/>
                                              <w:szCs w:val="21"/>
                                            </w:rPr>
                                            <w:t xml:space="preserve"> 2017 - termine per l'invio dei dati delle fatture emesse e ricevute del secondo semestre </w:t>
                                          </w:r>
                                          <w:proofErr w:type="gramStart"/>
                                          <w:r>
                                            <w:rPr>
                                              <w:rFonts w:ascii="Helvetica" w:eastAsia="Times New Roman" w:hAnsi="Helvetica" w:cs="Helvetica"/>
                                              <w:color w:val="000000"/>
                                              <w:sz w:val="21"/>
                                              <w:szCs w:val="21"/>
                                            </w:rPr>
                                            <w:t>2017  (</w:t>
                                          </w:r>
                                          <w:proofErr w:type="gramEnd"/>
                                          <w:r>
                                            <w:rPr>
                                              <w:rFonts w:ascii="Helvetica" w:eastAsia="Times New Roman" w:hAnsi="Helvetica" w:cs="Helvetica"/>
                                              <w:color w:val="000000"/>
                                              <w:sz w:val="21"/>
                                              <w:szCs w:val="21"/>
                                            </w:rPr>
                                            <w:t xml:space="preserve"> Proroga Ufficiale 06/04/2018);</w:t>
                                          </w:r>
                                        </w:p>
                                      </w:tc>
                                    </w:tr>
                                  </w:tbl>
                                  <w:p w:rsidR="00A15F45" w:rsidRDefault="00A15F45">
                                    <w:pPr>
                                      <w:rPr>
                                        <w:rFonts w:eastAsia="Times New Roman"/>
                                        <w:sz w:val="20"/>
                                        <w:szCs w:val="20"/>
                                      </w:rPr>
                                    </w:pPr>
                                  </w:p>
                                </w:tc>
                              </w:tr>
                            </w:tbl>
                            <w:p w:rsidR="00A15F45" w:rsidRDefault="00A15F45">
                              <w:pPr>
                                <w:rPr>
                                  <w:rFonts w:eastAsia="Times New Roman"/>
                                  <w:sz w:val="20"/>
                                  <w:szCs w:val="20"/>
                                </w:rPr>
                              </w:pPr>
                            </w:p>
                          </w:tc>
                        </w:tr>
                      </w:tbl>
                      <w:p w:rsidR="00A15F45" w:rsidRDefault="00A15F45">
                        <w:pPr>
                          <w:rPr>
                            <w:rFonts w:eastAsia="Times New Roman"/>
                          </w:rPr>
                        </w:pPr>
                      </w:p>
                      <w:tbl>
                        <w:tblPr>
                          <w:tblW w:w="5000" w:type="pct"/>
                          <w:tblCellMar>
                            <w:left w:w="0" w:type="dxa"/>
                            <w:right w:w="0" w:type="dxa"/>
                          </w:tblCellMar>
                          <w:tblLook w:val="04A0" w:firstRow="1" w:lastRow="0" w:firstColumn="1" w:lastColumn="0" w:noHBand="0" w:noVBand="1"/>
                        </w:tblPr>
                        <w:tblGrid>
                          <w:gridCol w:w="9000"/>
                        </w:tblGrid>
                        <w:tr w:rsidR="00A15F45">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A15F45">
                                <w:tc>
                                  <w:tcPr>
                                    <w:tcW w:w="0" w:type="auto"/>
                                    <w:tcBorders>
                                      <w:top w:val="single" w:sz="6" w:space="0" w:color="999999"/>
                                      <w:left w:val="nil"/>
                                      <w:bottom w:val="nil"/>
                                      <w:right w:val="nil"/>
                                    </w:tcBorders>
                                    <w:vAlign w:val="center"/>
                                    <w:hideMark/>
                                  </w:tcPr>
                                  <w:p w:rsidR="00A15F45" w:rsidRDefault="00A15F45">
                                    <w:pPr>
                                      <w:rPr>
                                        <w:rFonts w:eastAsia="Times New Roman"/>
                                      </w:rPr>
                                    </w:pPr>
                                  </w:p>
                                </w:tc>
                              </w:tr>
                            </w:tbl>
                            <w:p w:rsidR="00A15F45" w:rsidRDefault="00A15F45">
                              <w:pPr>
                                <w:rPr>
                                  <w:rFonts w:eastAsia="Times New Roman"/>
                                  <w:sz w:val="20"/>
                                  <w:szCs w:val="20"/>
                                </w:rPr>
                              </w:pPr>
                            </w:p>
                          </w:tc>
                        </w:tr>
                      </w:tbl>
                      <w:p w:rsidR="00A15F45" w:rsidRDefault="00A15F45">
                        <w:pPr>
                          <w:rPr>
                            <w:rFonts w:eastAsia="Times New Roman"/>
                          </w:rPr>
                        </w:pPr>
                      </w:p>
                      <w:p w:rsidR="00A15F45" w:rsidRDefault="00A15F45">
                        <w:pPr>
                          <w:rPr>
                            <w:rFonts w:eastAsia="Times New Roman"/>
                          </w:rPr>
                        </w:pPr>
                        <w:bookmarkStart w:id="0" w:name="_GoBack"/>
                        <w:bookmarkEnd w:id="0"/>
                      </w:p>
                      <w:p w:rsidR="00A15F45" w:rsidRDefault="00A15F45" w:rsidP="00A15F45">
                        <w:pPr>
                          <w:rPr>
                            <w:rFonts w:eastAsia="Times New Roman"/>
                            <w:sz w:val="20"/>
                            <w:szCs w:val="20"/>
                          </w:rPr>
                        </w:pPr>
                      </w:p>
                    </w:tc>
                  </w:tr>
                </w:tbl>
                <w:p w:rsidR="00A15F45" w:rsidRDefault="00A15F45">
                  <w:pPr>
                    <w:jc w:val="center"/>
                    <w:rPr>
                      <w:rFonts w:eastAsia="Times New Roman"/>
                      <w:sz w:val="20"/>
                      <w:szCs w:val="20"/>
                    </w:rPr>
                  </w:pPr>
                </w:p>
              </w:tc>
            </w:tr>
          </w:tbl>
          <w:p w:rsidR="00A15F45" w:rsidRDefault="00A15F45">
            <w:pPr>
              <w:jc w:val="center"/>
              <w:rPr>
                <w:rFonts w:eastAsia="Times New Roman"/>
                <w:sz w:val="20"/>
                <w:szCs w:val="20"/>
              </w:rPr>
            </w:pPr>
          </w:p>
        </w:tc>
      </w:tr>
    </w:tbl>
    <w:p w:rsidR="00D71273" w:rsidRDefault="00D71273"/>
    <w:sectPr w:rsidR="00D712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57F1C"/>
    <w:multiLevelType w:val="multilevel"/>
    <w:tmpl w:val="6428C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64C72"/>
    <w:multiLevelType w:val="multilevel"/>
    <w:tmpl w:val="0414E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C221B2"/>
    <w:multiLevelType w:val="multilevel"/>
    <w:tmpl w:val="C950A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07659"/>
    <w:multiLevelType w:val="multilevel"/>
    <w:tmpl w:val="0592E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E6F61"/>
    <w:multiLevelType w:val="multilevel"/>
    <w:tmpl w:val="35AEC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90AE5"/>
    <w:multiLevelType w:val="multilevel"/>
    <w:tmpl w:val="562C5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F0E8B"/>
    <w:multiLevelType w:val="multilevel"/>
    <w:tmpl w:val="5A8C3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45"/>
    <w:rsid w:val="00A15F45"/>
    <w:rsid w:val="00D71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2A846-42C2-47E8-9017-967B9A5E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5F45"/>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A15F45"/>
    <w:pPr>
      <w:spacing w:line="300" w:lineRule="auto"/>
      <w:outlineLvl w:val="0"/>
    </w:pPr>
    <w:rPr>
      <w:rFonts w:ascii="Helvetica" w:hAnsi="Helvetica" w:cs="Helvetica"/>
      <w:b/>
      <w:bCs/>
      <w:color w:val="606060"/>
      <w:spacing w:val="-15"/>
      <w:kern w:val="36"/>
      <w:sz w:val="60"/>
      <w:szCs w:val="60"/>
    </w:rPr>
  </w:style>
  <w:style w:type="paragraph" w:styleId="Titolo2">
    <w:name w:val="heading 2"/>
    <w:basedOn w:val="Normale"/>
    <w:link w:val="Titolo2Carattere"/>
    <w:uiPriority w:val="9"/>
    <w:semiHidden/>
    <w:unhideWhenUsed/>
    <w:qFormat/>
    <w:rsid w:val="00A15F45"/>
    <w:pPr>
      <w:spacing w:line="300" w:lineRule="auto"/>
      <w:outlineLvl w:val="1"/>
    </w:pPr>
    <w:rPr>
      <w:rFonts w:ascii="Helvetica" w:hAnsi="Helvetica" w:cs="Helvetica"/>
      <w:b/>
      <w:bCs/>
      <w:color w:val="404040"/>
      <w:spacing w:val="-11"/>
      <w:sz w:val="39"/>
      <w:szCs w:val="3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5F45"/>
    <w:rPr>
      <w:rFonts w:ascii="Helvetica" w:hAnsi="Helvetica" w:cs="Helvetica"/>
      <w:b/>
      <w:bCs/>
      <w:color w:val="606060"/>
      <w:spacing w:val="-15"/>
      <w:kern w:val="36"/>
      <w:sz w:val="60"/>
      <w:szCs w:val="60"/>
      <w:lang w:eastAsia="it-IT"/>
    </w:rPr>
  </w:style>
  <w:style w:type="character" w:customStyle="1" w:styleId="Titolo2Carattere">
    <w:name w:val="Titolo 2 Carattere"/>
    <w:basedOn w:val="Carpredefinitoparagrafo"/>
    <w:link w:val="Titolo2"/>
    <w:uiPriority w:val="9"/>
    <w:semiHidden/>
    <w:rsid w:val="00A15F45"/>
    <w:rPr>
      <w:rFonts w:ascii="Helvetica" w:hAnsi="Helvetica" w:cs="Helvetica"/>
      <w:b/>
      <w:bCs/>
      <w:color w:val="404040"/>
      <w:spacing w:val="-11"/>
      <w:sz w:val="39"/>
      <w:szCs w:val="39"/>
      <w:lang w:eastAsia="it-IT"/>
    </w:rPr>
  </w:style>
  <w:style w:type="character" w:styleId="Collegamentoipertestuale">
    <w:name w:val="Hyperlink"/>
    <w:basedOn w:val="Carpredefinitoparagrafo"/>
    <w:uiPriority w:val="99"/>
    <w:semiHidden/>
    <w:unhideWhenUsed/>
    <w:rsid w:val="00A15F45"/>
    <w:rPr>
      <w:color w:val="0000FF"/>
      <w:u w:val="single"/>
    </w:rPr>
  </w:style>
  <w:style w:type="character" w:styleId="Enfasigrassetto">
    <w:name w:val="Strong"/>
    <w:basedOn w:val="Carpredefinitoparagrafo"/>
    <w:uiPriority w:val="22"/>
    <w:qFormat/>
    <w:rsid w:val="00A15F45"/>
    <w:rPr>
      <w:b/>
      <w:bCs/>
    </w:rPr>
  </w:style>
  <w:style w:type="character" w:styleId="Enfasicorsivo">
    <w:name w:val="Emphasis"/>
    <w:basedOn w:val="Carpredefinitoparagrafo"/>
    <w:uiPriority w:val="20"/>
    <w:qFormat/>
    <w:rsid w:val="00A15F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si.us9.list-manage.com/track/click?u=1041189d31d4a61eb1a63e3f6&amp;id=ac7bde8893&amp;e=9dd48a76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csi.us9.list-manage.com/track/click?u=1041189d31d4a61eb1a63e3f6&amp;id=ed73978d5e&amp;e=9dd48a7692"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acsi.us9.list-manage.com/track/click?u=1041189d31d4a61eb1a63e3f6&amp;id=e835c63b57&amp;e=9dd48a76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1237</Words>
  <Characters>7055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2018-02-28T11:26:00Z</dcterms:created>
  <dcterms:modified xsi:type="dcterms:W3CDTF">2018-02-28T11:28:00Z</dcterms:modified>
</cp:coreProperties>
</file>